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1E529479"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w:t>
      </w:r>
      <w:r w:rsidR="0061297E">
        <w:rPr>
          <w:rFonts w:ascii="Arial" w:hAnsi="Arial" w:cs="Arial"/>
          <w:b/>
          <w:sz w:val="22"/>
          <w:szCs w:val="24"/>
        </w:rPr>
        <w:t>1</w:t>
      </w:r>
      <w:r w:rsidR="00CE5F5F" w:rsidRPr="008E769D">
        <w:rPr>
          <w:rFonts w:ascii="Arial" w:hAnsi="Arial" w:cs="Arial"/>
          <w:b/>
          <w:sz w:val="22"/>
          <w:szCs w:val="24"/>
        </w:rPr>
        <w:t xml:space="preserve"> </w:t>
      </w:r>
      <w:r w:rsidR="00CE5F5F" w:rsidRPr="008E769D">
        <w:rPr>
          <w:rFonts w:ascii="Arial" w:hAnsi="Arial" w:cs="Arial"/>
          <w:b/>
          <w:sz w:val="22"/>
          <w:szCs w:val="24"/>
        </w:rPr>
        <w:tab/>
      </w:r>
      <w:r w:rsidR="004825AD" w:rsidRPr="004825AD">
        <w:rPr>
          <w:rFonts w:ascii="Arial" w:hAnsi="Arial" w:cs="Arial"/>
          <w:b/>
          <w:sz w:val="22"/>
          <w:szCs w:val="24"/>
        </w:rPr>
        <w:t>R1-1720691</w:t>
      </w:r>
    </w:p>
    <w:p w14:paraId="1DBE0C1E" w14:textId="472901A2" w:rsidR="00BC335A" w:rsidRPr="00BC335A" w:rsidRDefault="0061297E" w:rsidP="00BC335A">
      <w:pPr>
        <w:pStyle w:val="Footer"/>
        <w:jc w:val="both"/>
        <w:rPr>
          <w:rFonts w:cs="Arial"/>
          <w:i w:val="0"/>
          <w:noProof w:val="0"/>
          <w:sz w:val="22"/>
          <w:szCs w:val="24"/>
        </w:rPr>
      </w:pPr>
      <w:r>
        <w:rPr>
          <w:rFonts w:cs="Arial"/>
          <w:i w:val="0"/>
          <w:noProof w:val="0"/>
          <w:sz w:val="22"/>
          <w:szCs w:val="24"/>
        </w:rPr>
        <w:t>November 27</w:t>
      </w:r>
      <w:r w:rsidR="003D0AF2" w:rsidRPr="0061297E">
        <w:rPr>
          <w:rFonts w:cs="Arial"/>
          <w:i w:val="0"/>
          <w:noProof w:val="0"/>
          <w:sz w:val="22"/>
          <w:szCs w:val="24"/>
          <w:vertAlign w:val="superscript"/>
        </w:rPr>
        <w:t>th</w:t>
      </w:r>
      <w:r>
        <w:rPr>
          <w:rFonts w:cs="Arial"/>
          <w:i w:val="0"/>
          <w:noProof w:val="0"/>
          <w:sz w:val="22"/>
          <w:szCs w:val="24"/>
        </w:rPr>
        <w:t xml:space="preserve"> </w:t>
      </w:r>
      <w:r w:rsidR="00BC335A" w:rsidRPr="00BC335A">
        <w:rPr>
          <w:rFonts w:cs="Arial"/>
          <w:i w:val="0"/>
          <w:noProof w:val="0"/>
          <w:sz w:val="22"/>
          <w:szCs w:val="24"/>
        </w:rPr>
        <w:t xml:space="preserve"> – </w:t>
      </w:r>
      <w:r>
        <w:rPr>
          <w:rFonts w:cs="Arial"/>
          <w:i w:val="0"/>
          <w:noProof w:val="0"/>
          <w:sz w:val="22"/>
          <w:szCs w:val="24"/>
        </w:rPr>
        <w:t xml:space="preserve">December </w:t>
      </w:r>
      <w:r w:rsidR="00FD2EB2">
        <w:rPr>
          <w:rFonts w:cs="Arial"/>
          <w:i w:val="0"/>
          <w:noProof w:val="0"/>
          <w:sz w:val="22"/>
          <w:szCs w:val="24"/>
        </w:rPr>
        <w:t>1</w:t>
      </w:r>
      <w:r w:rsidRPr="0061297E">
        <w:rPr>
          <w:rFonts w:cs="Arial"/>
          <w:i w:val="0"/>
          <w:noProof w:val="0"/>
          <w:sz w:val="22"/>
          <w:szCs w:val="24"/>
          <w:vertAlign w:val="superscript"/>
        </w:rPr>
        <w:t>st</w:t>
      </w:r>
      <w:r w:rsidR="00BC335A" w:rsidRPr="00BC335A">
        <w:rPr>
          <w:rFonts w:cs="Arial"/>
          <w:i w:val="0"/>
          <w:noProof w:val="0"/>
          <w:sz w:val="22"/>
          <w:szCs w:val="24"/>
        </w:rPr>
        <w:t xml:space="preserve"> 2017</w:t>
      </w:r>
    </w:p>
    <w:p w14:paraId="2F2D8718" w14:textId="3CF5F5A5" w:rsidR="00CE5F5F" w:rsidRDefault="0061297E" w:rsidP="00BC335A">
      <w:pPr>
        <w:pStyle w:val="Footer"/>
        <w:jc w:val="both"/>
        <w:rPr>
          <w:rFonts w:cs="Arial"/>
          <w:i w:val="0"/>
          <w:noProof w:val="0"/>
          <w:sz w:val="22"/>
          <w:szCs w:val="24"/>
        </w:rPr>
      </w:pPr>
      <w:r>
        <w:rPr>
          <w:rFonts w:cs="Arial"/>
          <w:i w:val="0"/>
          <w:noProof w:val="0"/>
          <w:sz w:val="22"/>
          <w:szCs w:val="24"/>
        </w:rPr>
        <w:t>Reno</w:t>
      </w:r>
      <w:r w:rsidR="00BC335A" w:rsidRPr="00BC335A">
        <w:rPr>
          <w:rFonts w:cs="Arial"/>
          <w:i w:val="0"/>
          <w:noProof w:val="0"/>
          <w:sz w:val="22"/>
          <w:szCs w:val="24"/>
        </w:rPr>
        <w:t xml:space="preserve">, </w:t>
      </w:r>
      <w:r>
        <w:rPr>
          <w:rFonts w:cs="Arial"/>
          <w:i w:val="0"/>
          <w:noProof w:val="0"/>
          <w:sz w:val="22"/>
          <w:szCs w:val="24"/>
        </w:rPr>
        <w:t>USA</w:t>
      </w:r>
    </w:p>
    <w:p w14:paraId="3A0CB384" w14:textId="77777777" w:rsidR="00BC335A" w:rsidRPr="008E769D" w:rsidRDefault="00BC335A" w:rsidP="00BC335A">
      <w:pPr>
        <w:pStyle w:val="Footer"/>
        <w:jc w:val="both"/>
        <w:rPr>
          <w:noProof w:val="0"/>
          <w:sz w:val="16"/>
        </w:rPr>
      </w:pPr>
      <w:bookmarkStart w:id="0" w:name="_Hlk495298459"/>
    </w:p>
    <w:p w14:paraId="00A480DC" w14:textId="6FCF1DA3"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8D70ED">
        <w:rPr>
          <w:rFonts w:ascii="Arial" w:hAnsi="Arial"/>
          <w:sz w:val="22"/>
        </w:rPr>
        <w:t>5</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0B98CF53"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67333">
        <w:rPr>
          <w:rFonts w:ascii="Arial" w:hAnsi="Arial"/>
          <w:sz w:val="22"/>
        </w:rPr>
        <w:t xml:space="preserve">Soft </w:t>
      </w:r>
      <w:r w:rsidR="00117070">
        <w:rPr>
          <w:rFonts w:ascii="Arial" w:hAnsi="Arial"/>
          <w:sz w:val="22"/>
        </w:rPr>
        <w:t>B</w:t>
      </w:r>
      <w:r w:rsidR="00D67333">
        <w:rPr>
          <w:rFonts w:ascii="Arial" w:hAnsi="Arial"/>
          <w:sz w:val="22"/>
        </w:rPr>
        <w:t>uffer Manag</w:t>
      </w:r>
      <w:r w:rsidR="00A75F33">
        <w:rPr>
          <w:rFonts w:ascii="Arial" w:hAnsi="Arial"/>
          <w:sz w:val="22"/>
        </w:rPr>
        <w:t>e</w:t>
      </w:r>
      <w:r w:rsidR="00D67333">
        <w:rPr>
          <w:rFonts w:ascii="Arial" w:hAnsi="Arial"/>
          <w:sz w:val="22"/>
        </w:rPr>
        <w:t>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D8E5D4D" w:rsidR="001F2982" w:rsidRDefault="00B524B6" w:rsidP="0088176C">
      <w:pPr>
        <w:pStyle w:val="Heading1"/>
        <w:rPr>
          <w:lang w:val="en-US"/>
        </w:rPr>
      </w:pPr>
      <w:r w:rsidRPr="008E769D">
        <w:rPr>
          <w:lang w:val="en-US"/>
        </w:rPr>
        <w:t>Introduction</w:t>
      </w:r>
    </w:p>
    <w:p w14:paraId="199E27F2" w14:textId="44191A8D" w:rsidR="00D444B7" w:rsidRPr="00D444B7" w:rsidRDefault="00D444B7" w:rsidP="00D444B7">
      <w:r>
        <w:t>Based on the agreements from RAN1 #90bis</w:t>
      </w:r>
      <w:r w:rsidR="00117070">
        <w:t xml:space="preserve"> [1] below</w:t>
      </w:r>
      <w:r>
        <w:t>, we provide remaining details on the LBRM for specification of transmit rate matching.</w:t>
      </w:r>
      <w:r w:rsidR="00117070">
        <w:t xml:space="preserve"> Additional discussion is given on guidance for soft-buffer provisioning in UE implementation.</w:t>
      </w:r>
    </w:p>
    <w:p w14:paraId="54799C70" w14:textId="77777777" w:rsidR="00D67333" w:rsidRDefault="00D67333" w:rsidP="00D67333">
      <w:pPr>
        <w:rPr>
          <w:highlight w:val="green"/>
        </w:rPr>
      </w:pPr>
      <w:r>
        <w:rPr>
          <w:highlight w:val="green"/>
        </w:rPr>
        <w:t>Agreements:</w:t>
      </w:r>
    </w:p>
    <w:p w14:paraId="587362C2" w14:textId="77777777" w:rsidR="00D67333" w:rsidRDefault="00D67333" w:rsidP="00D67333">
      <w:pPr>
        <w:numPr>
          <w:ilvl w:val="0"/>
          <w:numId w:val="35"/>
        </w:numPr>
        <w:overflowPunct/>
        <w:autoSpaceDE/>
        <w:autoSpaceDN/>
        <w:adjustRightInd/>
        <w:spacing w:after="0"/>
        <w:textAlignment w:val="auto"/>
      </w:pPr>
      <w:r>
        <w:t>For DL, limited buffer rate matching (LBRM) is supported and is applied per HARQ process.</w:t>
      </w:r>
    </w:p>
    <w:p w14:paraId="5DA07FCC" w14:textId="77777777" w:rsidR="00D67333" w:rsidRDefault="00D67333" w:rsidP="00D67333">
      <w:pPr>
        <w:numPr>
          <w:ilvl w:val="1"/>
          <w:numId w:val="35"/>
        </w:numPr>
        <w:overflowPunct/>
        <w:autoSpaceDE/>
        <w:autoSpaceDN/>
        <w:adjustRightInd/>
        <w:spacing w:after="0"/>
        <w:textAlignment w:val="auto"/>
      </w:pPr>
      <w:r>
        <w:t>NR limits transmit buffer corresponding to a largest TBS coded at rate R</w:t>
      </w:r>
      <w:r>
        <w:rPr>
          <w:vertAlign w:val="subscript"/>
        </w:rPr>
        <w:t>LBRM</w:t>
      </w:r>
      <w:r>
        <w:rPr>
          <w:sz w:val="24"/>
        </w:rPr>
        <w:t>.</w:t>
      </w:r>
    </w:p>
    <w:p w14:paraId="71538E59" w14:textId="77777777" w:rsidR="00D67333" w:rsidRDefault="00D67333" w:rsidP="00D67333">
      <w:pPr>
        <w:pStyle w:val="BodyText"/>
        <w:numPr>
          <w:ilvl w:val="1"/>
          <w:numId w:val="35"/>
        </w:numPr>
        <w:overflowPunct/>
        <w:autoSpaceDE/>
        <w:autoSpaceDN/>
        <w:adjustRightInd/>
        <w:textAlignment w:val="auto"/>
        <w:rPr>
          <w:szCs w:val="20"/>
          <w:lang w:eastAsia="zh-CN"/>
        </w:rPr>
      </w:pPr>
      <w:r>
        <w:rPr>
          <w:szCs w:val="20"/>
          <w:lang w:eastAsia="zh-CN"/>
        </w:rPr>
        <w:t>R</w:t>
      </w:r>
      <w:r>
        <w:rPr>
          <w:szCs w:val="20"/>
          <w:vertAlign w:val="subscript"/>
          <w:lang w:eastAsia="zh-CN"/>
        </w:rPr>
        <w:t>LBRM</w:t>
      </w:r>
      <w:r>
        <w:rPr>
          <w:szCs w:val="20"/>
          <w:lang w:eastAsia="zh-CN"/>
        </w:rPr>
        <w:t xml:space="preserve"> =1/2  is supported. </w:t>
      </w:r>
    </w:p>
    <w:p w14:paraId="2D88D2FC" w14:textId="77777777" w:rsidR="00D67333" w:rsidRDefault="00D67333" w:rsidP="00D67333">
      <w:pPr>
        <w:numPr>
          <w:ilvl w:val="0"/>
          <w:numId w:val="36"/>
        </w:numPr>
        <w:overflowPunct/>
        <w:autoSpaceDE/>
        <w:autoSpaceDN/>
        <w:adjustRightInd/>
        <w:spacing w:after="0"/>
        <w:textAlignment w:val="auto"/>
      </w:pPr>
      <w:r>
        <w:t>Largest TBS for LBRM for DL should at least take into account UE capability</w:t>
      </w:r>
    </w:p>
    <w:p w14:paraId="7512E1B0" w14:textId="77777777" w:rsidR="00D67333" w:rsidRDefault="00D67333" w:rsidP="00D67333">
      <w:pPr>
        <w:numPr>
          <w:ilvl w:val="1"/>
          <w:numId w:val="36"/>
        </w:numPr>
        <w:overflowPunct/>
        <w:autoSpaceDE/>
        <w:autoSpaceDN/>
        <w:adjustRightInd/>
        <w:spacing w:after="0"/>
        <w:textAlignment w:val="auto"/>
      </w:pPr>
      <w:r>
        <w:t>Details FFS (e.g., based on UE signalling, gNB configuration w.r.t. highest mod order, etc.)</w:t>
      </w:r>
    </w:p>
    <w:p w14:paraId="70691C76" w14:textId="77777777" w:rsidR="00D67333" w:rsidRDefault="00D67333" w:rsidP="00D67333">
      <w:pPr>
        <w:numPr>
          <w:ilvl w:val="2"/>
          <w:numId w:val="36"/>
        </w:numPr>
        <w:overflowPunct/>
        <w:autoSpaceDE/>
        <w:autoSpaceDN/>
        <w:adjustRightInd/>
        <w:spacing w:after="0"/>
        <w:textAlignment w:val="auto"/>
        <w:rPr>
          <w:szCs w:val="24"/>
        </w:rPr>
      </w:pPr>
      <w:r>
        <w:t>Note: this does not prevent the possibility of defining a single largest TBS used for LBRM in Rel-15</w:t>
      </w:r>
    </w:p>
    <w:p w14:paraId="0B75E111" w14:textId="77777777" w:rsidR="00D67333" w:rsidRDefault="00D67333" w:rsidP="00D67333">
      <w:r>
        <w:rPr>
          <w:highlight w:val="green"/>
        </w:rPr>
        <w:t>Agreements</w:t>
      </w:r>
      <w:r>
        <w:t>:</w:t>
      </w:r>
    </w:p>
    <w:p w14:paraId="444808F1" w14:textId="77777777" w:rsidR="00D67333" w:rsidRDefault="00D67333" w:rsidP="00D67333">
      <w:pPr>
        <w:numPr>
          <w:ilvl w:val="0"/>
          <w:numId w:val="37"/>
        </w:numPr>
        <w:overflowPunct/>
        <w:autoSpaceDE/>
        <w:autoSpaceDN/>
        <w:adjustRightInd/>
        <w:spacing w:after="0"/>
        <w:ind w:left="1440"/>
        <w:textAlignment w:val="auto"/>
      </w:pPr>
      <w:r>
        <w:t>Dynamic sharing of soft buffer is possible for DL reception by UE implementation</w:t>
      </w:r>
    </w:p>
    <w:p w14:paraId="1A8BCF22" w14:textId="77777777" w:rsidR="00D67333" w:rsidRDefault="00D67333" w:rsidP="00D67333">
      <w:pPr>
        <w:numPr>
          <w:ilvl w:val="1"/>
          <w:numId w:val="37"/>
        </w:numPr>
        <w:overflowPunct/>
        <w:autoSpaceDE/>
        <w:autoSpaceDN/>
        <w:adjustRightInd/>
        <w:spacing w:after="0"/>
        <w:ind w:left="2160"/>
        <w:textAlignment w:val="auto"/>
      </w:pPr>
      <w:r>
        <w:t>No spec impact</w:t>
      </w:r>
    </w:p>
    <w:p w14:paraId="2D5A3219" w14:textId="05E9BA0A" w:rsidR="00AE4A10" w:rsidRDefault="00AE4A10" w:rsidP="00DA1DD2">
      <w:pPr>
        <w:rPr>
          <w:lang w:val="en-GB"/>
        </w:rPr>
      </w:pPr>
    </w:p>
    <w:p w14:paraId="14B16D57" w14:textId="77777777" w:rsidR="00D67333" w:rsidRPr="00254B6C" w:rsidRDefault="00D67333" w:rsidP="00D67333">
      <w:pPr>
        <w:rPr>
          <w:b/>
          <w:u w:val="single"/>
        </w:rPr>
      </w:pPr>
      <w:r w:rsidRPr="00254B6C">
        <w:rPr>
          <w:b/>
          <w:u w:val="single"/>
        </w:rPr>
        <w:t>Update after email approval:</w:t>
      </w:r>
    </w:p>
    <w:p w14:paraId="75BC655D" w14:textId="77777777" w:rsidR="00D67333" w:rsidRDefault="00D67333" w:rsidP="00D67333">
      <w:pPr>
        <w:rPr>
          <w:highlight w:val="green"/>
        </w:rPr>
      </w:pPr>
      <w:r>
        <w:rPr>
          <w:highlight w:val="green"/>
        </w:rPr>
        <w:t>Agreements:</w:t>
      </w:r>
    </w:p>
    <w:p w14:paraId="57899AEB" w14:textId="77777777" w:rsidR="00D67333" w:rsidRDefault="00D67333" w:rsidP="00D67333">
      <w:pPr>
        <w:numPr>
          <w:ilvl w:val="0"/>
          <w:numId w:val="37"/>
        </w:numPr>
        <w:overflowPunct/>
        <w:autoSpaceDE/>
        <w:autoSpaceDN/>
        <w:adjustRightInd/>
        <w:spacing w:after="0"/>
        <w:ind w:left="1440"/>
        <w:textAlignment w:val="auto"/>
        <w:rPr>
          <w:szCs w:val="24"/>
        </w:rPr>
      </w:pPr>
      <w:r>
        <w:t>For DL LBRM, RLBRM is changed from 1/2 to 2/3.</w:t>
      </w:r>
    </w:p>
    <w:p w14:paraId="55090635" w14:textId="77777777" w:rsidR="00D67333" w:rsidRDefault="00D67333" w:rsidP="00D67333">
      <w:pPr>
        <w:numPr>
          <w:ilvl w:val="0"/>
          <w:numId w:val="37"/>
        </w:numPr>
        <w:overflowPunct/>
        <w:autoSpaceDE/>
        <w:autoSpaceDN/>
        <w:adjustRightInd/>
        <w:spacing w:before="100" w:beforeAutospacing="1" w:after="100" w:afterAutospacing="1"/>
        <w:ind w:left="1440"/>
        <w:textAlignment w:val="auto"/>
        <w:rPr>
          <w:rFonts w:ascii="MS PGothic" w:hAnsi="MS PGothic"/>
        </w:rPr>
      </w:pPr>
      <w:r>
        <w:t xml:space="preserve">For uplink, </w:t>
      </w:r>
    </w:p>
    <w:p w14:paraId="563FFB1D" w14:textId="77777777" w:rsidR="00D67333" w:rsidRDefault="00D67333" w:rsidP="00D67333">
      <w:pPr>
        <w:numPr>
          <w:ilvl w:val="1"/>
          <w:numId w:val="37"/>
        </w:numPr>
        <w:overflowPunct/>
        <w:autoSpaceDE/>
        <w:autoSpaceDN/>
        <w:adjustRightInd/>
        <w:spacing w:before="100" w:beforeAutospacing="1" w:after="100" w:afterAutospacing="1"/>
        <w:ind w:left="2160"/>
        <w:textAlignment w:val="auto"/>
        <w:rPr>
          <w:lang w:val="en-GB"/>
        </w:rPr>
      </w:pPr>
      <w:r>
        <w:t xml:space="preserve">Full buffer rate-matching is supported </w:t>
      </w:r>
    </w:p>
    <w:p w14:paraId="6F917BE5" w14:textId="77777777" w:rsidR="00D67333" w:rsidRPr="00D444B7" w:rsidRDefault="00D67333" w:rsidP="00D67333">
      <w:pPr>
        <w:numPr>
          <w:ilvl w:val="1"/>
          <w:numId w:val="37"/>
        </w:numPr>
        <w:overflowPunct/>
        <w:autoSpaceDE/>
        <w:autoSpaceDN/>
        <w:adjustRightInd/>
        <w:spacing w:before="100" w:beforeAutospacing="1" w:after="100" w:afterAutospacing="1"/>
        <w:ind w:left="2160"/>
        <w:textAlignment w:val="auto"/>
      </w:pPr>
      <w:r>
        <w:t>Limited buffer rate-matching is also supported via RRC configuration and,</w:t>
      </w:r>
      <w:bookmarkStart w:id="1" w:name="_GoBack"/>
      <w:bookmarkEnd w:id="1"/>
      <w:r>
        <w:t xml:space="preserve"> when configured, is applied to all HARQ processes </w:t>
      </w:r>
    </w:p>
    <w:p w14:paraId="3B4B03C4" w14:textId="48E50450" w:rsidR="00D67333" w:rsidRPr="00D444B7" w:rsidRDefault="00D67333" w:rsidP="00D444B7">
      <w:pPr>
        <w:numPr>
          <w:ilvl w:val="3"/>
          <w:numId w:val="37"/>
        </w:numPr>
        <w:overflowPunct/>
        <w:autoSpaceDE/>
        <w:autoSpaceDN/>
        <w:adjustRightInd/>
        <w:spacing w:before="100" w:beforeAutospacing="1" w:after="100" w:afterAutospacing="1"/>
        <w:textAlignment w:val="auto"/>
      </w:pPr>
      <w:r w:rsidRPr="00D444B7">
        <w:t>NR limits UL transmit buffer corresponding to a largest UL TBS coded at rate R</w:t>
      </w:r>
      <w:r w:rsidRPr="00D444B7">
        <w:rPr>
          <w:vertAlign w:val="subscript"/>
        </w:rPr>
        <w:t>LBRM,UL</w:t>
      </w:r>
      <w:r w:rsidRPr="00D444B7">
        <w:t xml:space="preserve"> </w:t>
      </w:r>
    </w:p>
    <w:p w14:paraId="47DC4E8B" w14:textId="60280861" w:rsidR="00D67333" w:rsidRPr="00D444B7" w:rsidRDefault="00D67333" w:rsidP="00D444B7">
      <w:pPr>
        <w:numPr>
          <w:ilvl w:val="3"/>
          <w:numId w:val="37"/>
        </w:numPr>
        <w:overflowPunct/>
        <w:autoSpaceDE/>
        <w:autoSpaceDN/>
        <w:adjustRightInd/>
        <w:spacing w:before="100" w:beforeAutospacing="1" w:after="100" w:afterAutospacing="1"/>
        <w:textAlignment w:val="auto"/>
      </w:pPr>
      <w:r w:rsidRPr="00D444B7">
        <w:t>R</w:t>
      </w:r>
      <w:r w:rsidRPr="00D444B7">
        <w:rPr>
          <w:vertAlign w:val="subscript"/>
        </w:rPr>
        <w:t>LBRM, UL</w:t>
      </w:r>
      <w:r w:rsidRPr="00D444B7">
        <w:t xml:space="preserve"> = 2/3. </w:t>
      </w:r>
    </w:p>
    <w:p w14:paraId="0B6DA917" w14:textId="76E937C1" w:rsidR="00D444B7" w:rsidRDefault="00D67333" w:rsidP="00D444B7">
      <w:pPr>
        <w:numPr>
          <w:ilvl w:val="3"/>
          <w:numId w:val="37"/>
        </w:numPr>
        <w:overflowPunct/>
        <w:autoSpaceDE/>
        <w:autoSpaceDN/>
        <w:adjustRightInd/>
        <w:spacing w:before="100" w:beforeAutospacing="1" w:after="100" w:afterAutospacing="1"/>
        <w:textAlignment w:val="auto"/>
      </w:pPr>
      <w:r w:rsidRPr="00D444B7">
        <w:t xml:space="preserve">Details FFS </w:t>
      </w:r>
    </w:p>
    <w:p w14:paraId="6C0CEFEE" w14:textId="77777777" w:rsidR="006B053F" w:rsidRPr="00D444B7" w:rsidRDefault="006B053F" w:rsidP="006B053F">
      <w:pPr>
        <w:overflowPunct/>
        <w:autoSpaceDE/>
        <w:autoSpaceDN/>
        <w:adjustRightInd/>
        <w:spacing w:before="100" w:beforeAutospacing="1" w:after="100" w:afterAutospacing="1"/>
        <w:textAlignment w:val="auto"/>
      </w:pPr>
    </w:p>
    <w:p w14:paraId="7292B5D2" w14:textId="74967884" w:rsidR="00D67333" w:rsidRDefault="00D67333" w:rsidP="00D67333">
      <w:pPr>
        <w:pStyle w:val="Heading1"/>
      </w:pPr>
      <w:r>
        <w:t>Details on Limited Buffer Rate Matching</w:t>
      </w:r>
    </w:p>
    <w:p w14:paraId="64B4F461" w14:textId="6CCBFABC" w:rsidR="00D444B7" w:rsidRDefault="006B053F" w:rsidP="00D67333">
      <w:pPr>
        <w:rPr>
          <w:lang w:val="en-GB"/>
        </w:rPr>
      </w:pPr>
      <w:r w:rsidRPr="006B053F">
        <w:rPr>
          <w:lang w:val="en-GB"/>
        </w:rPr>
        <w:t xml:space="preserve">The </w:t>
      </w:r>
      <w:r>
        <w:rPr>
          <w:lang w:val="en-GB"/>
        </w:rPr>
        <w:t xml:space="preserve">remaining detail on </w:t>
      </w:r>
      <w:r w:rsidRPr="006B053F">
        <w:rPr>
          <w:position w:val="-14"/>
        </w:rPr>
        <w:object w:dxaOrig="460" w:dyaOrig="380" w14:anchorId="75BEC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8" type="#_x0000_t75" style="width:20.55pt;height:16.85pt" o:ole="">
            <v:imagedata r:id="rId12" o:title=""/>
          </v:shape>
          <o:OLEObject Type="Embed" ProgID="Equation.3" ShapeID="_x0000_i1338" DrawAspect="Content" ObjectID="_1572466246" r:id="rId13"/>
        </w:object>
      </w:r>
      <w:r>
        <w:t xml:space="preserve"> </w:t>
      </w:r>
      <w:r>
        <w:rPr>
          <w:lang w:val="en-GB"/>
        </w:rPr>
        <w:t>is still open in the specification [2]:</w:t>
      </w:r>
    </w:p>
    <w:p w14:paraId="613A3A28" w14:textId="2270BDFC" w:rsidR="006B053F" w:rsidRPr="006B053F" w:rsidRDefault="006B053F" w:rsidP="006B053F">
      <w:pPr>
        <w:ind w:left="720"/>
        <w:rPr>
          <w:rFonts w:hint="eastAsia"/>
          <w:lang w:eastAsia="zh-CN"/>
        </w:rPr>
      </w:pPr>
      <w:r w:rsidRPr="006B053F">
        <w:rPr>
          <w:rFonts w:hint="eastAsia"/>
          <w:lang w:eastAsia="zh-CN"/>
        </w:rPr>
        <w:t>F</w:t>
      </w:r>
      <w:r w:rsidRPr="006B053F">
        <w:t xml:space="preserve">or the </w:t>
      </w:r>
      <w:r w:rsidRPr="006B053F">
        <w:rPr>
          <w:position w:val="-4"/>
        </w:rPr>
        <w:object w:dxaOrig="180" w:dyaOrig="200" w14:anchorId="01B8C725">
          <v:shape id="_x0000_i1307" type="#_x0000_t75" style="width:7.5pt;height:8.4pt" o:ole="">
            <v:imagedata r:id="rId14" o:title=""/>
          </v:shape>
          <o:OLEObject Type="Embed" ProgID="Equation.3" ShapeID="_x0000_i1307" DrawAspect="Content" ObjectID="_1572466247" r:id="rId15"/>
        </w:object>
      </w:r>
      <w:r w:rsidRPr="006B053F">
        <w:t>-th code block</w:t>
      </w:r>
      <w:r w:rsidRPr="006B053F">
        <w:rPr>
          <w:rFonts w:hint="eastAsia"/>
          <w:lang w:eastAsia="zh-CN"/>
        </w:rPr>
        <w:t xml:space="preserve">, let </w:t>
      </w:r>
      <w:r w:rsidRPr="006B053F">
        <w:rPr>
          <w:position w:val="-12"/>
        </w:rPr>
        <w:object w:dxaOrig="859" w:dyaOrig="360" w14:anchorId="28BC8A72">
          <v:shape id="_x0000_i1308" type="#_x0000_t75" style="width:38.35pt;height:15.9pt" o:ole="">
            <v:imagedata r:id="rId16" o:title=""/>
          </v:shape>
          <o:OLEObject Type="Embed" ProgID="Equation.3" ShapeID="_x0000_i1308" DrawAspect="Content" ObjectID="_1572466248" r:id="rId17"/>
        </w:object>
      </w:r>
      <w:r w:rsidRPr="006B053F">
        <w:rPr>
          <w:rFonts w:hint="eastAsia"/>
          <w:lang w:eastAsia="zh-CN"/>
        </w:rPr>
        <w:t xml:space="preserve"> if </w:t>
      </w:r>
      <w:r w:rsidRPr="006B053F">
        <w:rPr>
          <w:position w:val="-10"/>
        </w:rPr>
        <w:object w:dxaOrig="960" w:dyaOrig="340" w14:anchorId="6417ED23">
          <v:shape id="_x0000_i1309" type="#_x0000_t75" style="width:42.1pt;height:14.95pt" o:ole="">
            <v:imagedata r:id="rId18" o:title=""/>
          </v:shape>
          <o:OLEObject Type="Embed" ProgID="Equation.3" ShapeID="_x0000_i1309" DrawAspect="Content" ObjectID="_1572466249" r:id="rId19"/>
        </w:object>
      </w:r>
      <w:r w:rsidRPr="006B053F">
        <w:rPr>
          <w:rFonts w:hint="eastAsia"/>
          <w:lang w:eastAsia="zh-CN"/>
        </w:rPr>
        <w:t xml:space="preserve"> and </w:t>
      </w:r>
      <w:r w:rsidRPr="006B053F">
        <w:rPr>
          <w:position w:val="-14"/>
        </w:rPr>
        <w:object w:dxaOrig="1900" w:dyaOrig="380" w14:anchorId="04F151A1">
          <v:shape id="_x0000_i1310" type="#_x0000_t75" style="width:84.15pt;height:16.85pt" o:ole="">
            <v:imagedata r:id="rId20" o:title=""/>
          </v:shape>
          <o:OLEObject Type="Embed" ProgID="Equation.3" ShapeID="_x0000_i1310" DrawAspect="Content" ObjectID="_1572466250" r:id="rId21"/>
        </w:object>
      </w:r>
      <w:r w:rsidRPr="006B053F">
        <w:rPr>
          <w:rFonts w:hint="eastAsia"/>
          <w:lang w:eastAsia="zh-CN"/>
        </w:rPr>
        <w:t xml:space="preserve"> otherwise,</w:t>
      </w:r>
      <w:r w:rsidRPr="006B053F">
        <w:rPr>
          <w:lang w:eastAsia="zh-CN"/>
        </w:rPr>
        <w:t xml:space="preserve"> where</w:t>
      </w:r>
      <w:r w:rsidRPr="006B053F">
        <w:rPr>
          <w:rFonts w:hint="eastAsia"/>
          <w:lang w:eastAsia="zh-CN"/>
        </w:rPr>
        <w:t xml:space="preserve"> </w:t>
      </w:r>
      <w:r w:rsidRPr="006B053F">
        <w:rPr>
          <w:position w:val="-14"/>
        </w:rPr>
        <w:object w:dxaOrig="859" w:dyaOrig="380" w14:anchorId="2F953091">
          <v:shape id="_x0000_i1319" type="#_x0000_t75" style="width:38.35pt;height:16.85pt" o:ole="">
            <v:imagedata r:id="rId22" o:title=""/>
          </v:shape>
          <o:OLEObject Type="Embed" ProgID="Equation.3" ShapeID="_x0000_i1319" DrawAspect="Content" ObjectID="_1572466251" r:id="rId23"/>
        </w:object>
      </w:r>
      <w:r w:rsidRPr="006B053F">
        <w:rPr>
          <w:rFonts w:hint="eastAsia"/>
          <w:lang w:eastAsia="zh-CN"/>
        </w:rPr>
        <w:t xml:space="preserve"> and </w:t>
      </w:r>
      <w:r w:rsidRPr="006B053F">
        <w:rPr>
          <w:position w:val="-10"/>
        </w:rPr>
        <w:object w:dxaOrig="1280" w:dyaOrig="340" w14:anchorId="0974FB27">
          <v:shape id="_x0000_i1320" type="#_x0000_t75" style="width:56.1pt;height:14.95pt" o:ole="">
            <v:imagedata r:id="rId24" o:title=""/>
          </v:shape>
          <o:OLEObject Type="Embed" ProgID="Equation.3" ShapeID="_x0000_i1320" DrawAspect="Content" ObjectID="_1572466252" r:id="rId25"/>
        </w:object>
      </w:r>
      <w:r w:rsidRPr="006B053F">
        <w:rPr>
          <w:rFonts w:hint="eastAsia"/>
          <w:lang w:eastAsia="zh-CN"/>
        </w:rPr>
        <w:t xml:space="preserve"> .</w:t>
      </w:r>
      <w:r w:rsidRPr="006B053F" w:rsidDel="008F1FC3">
        <w:t xml:space="preserve"> </w:t>
      </w:r>
    </w:p>
    <w:p w14:paraId="5E7E9912" w14:textId="272D07D7" w:rsidR="006B053F" w:rsidRDefault="006B053F" w:rsidP="00D67333">
      <w:pPr>
        <w:rPr>
          <w:lang w:val="en-GB"/>
        </w:rPr>
      </w:pPr>
      <w:r>
        <w:rPr>
          <w:lang w:val="en-GB"/>
        </w:rPr>
        <w:t>The proposal</w:t>
      </w:r>
      <w:r w:rsidR="00965BB6">
        <w:rPr>
          <w:lang w:val="en-GB"/>
        </w:rPr>
        <w:t xml:space="preserve"> below</w:t>
      </w:r>
      <w:r>
        <w:rPr>
          <w:lang w:val="en-GB"/>
        </w:rPr>
        <w:t xml:space="preserve"> allows for application of R</w:t>
      </w:r>
      <w:r w:rsidRPr="006B053F">
        <w:rPr>
          <w:vertAlign w:val="subscript"/>
          <w:lang w:val="en-GB"/>
        </w:rPr>
        <w:t>LBRM</w:t>
      </w:r>
      <w:r>
        <w:rPr>
          <w:lang w:val="en-GB"/>
        </w:rPr>
        <w:t xml:space="preserve"> at the maximum TBS, </w:t>
      </w:r>
      <w:r w:rsidR="00965BB6">
        <w:rPr>
          <w:lang w:val="en-GB"/>
        </w:rPr>
        <w:t>followed by</w:t>
      </w:r>
      <w:r>
        <w:rPr>
          <w:lang w:val="en-GB"/>
        </w:rPr>
        <w:t xml:space="preserve"> </w:t>
      </w:r>
      <w:r w:rsidR="00965BB6">
        <w:rPr>
          <w:lang w:val="en-GB"/>
        </w:rPr>
        <w:t>a</w:t>
      </w:r>
      <w:r>
        <w:rPr>
          <w:lang w:val="en-GB"/>
        </w:rPr>
        <w:t xml:space="preserve"> gradual scaling to full buffer rate matching as the TBS decreases.</w:t>
      </w:r>
    </w:p>
    <w:p w14:paraId="215BC92A" w14:textId="77777777" w:rsidR="00E91E2F" w:rsidRDefault="00E91E2F" w:rsidP="00E91E2F">
      <w:pPr>
        <w:rPr>
          <w:lang w:val="en-GB"/>
        </w:rPr>
      </w:pPr>
      <w:r w:rsidRPr="005F329A">
        <w:rPr>
          <w:b/>
          <w:u w:val="single"/>
          <w:lang w:val="en-GB"/>
        </w:rPr>
        <w:t>Proposal</w:t>
      </w:r>
      <w:r>
        <w:rPr>
          <w:b/>
          <w:u w:val="single"/>
          <w:lang w:val="en-GB"/>
        </w:rPr>
        <w:t xml:space="preserve"> 1</w:t>
      </w:r>
      <w:r w:rsidRPr="005F329A">
        <w:rPr>
          <w:b/>
          <w:u w:val="single"/>
          <w:lang w:val="en-GB"/>
        </w:rPr>
        <w:t>:</w:t>
      </w:r>
      <w:r>
        <w:rPr>
          <w:lang w:val="en-GB"/>
        </w:rPr>
        <w:t xml:space="preserve"> Limited buffer rate matching should be supported according to the procedure below</w:t>
      </w:r>
    </w:p>
    <w:p w14:paraId="5941018F" w14:textId="77777777" w:rsidR="00E91E2F" w:rsidRDefault="00E91E2F" w:rsidP="00E91E2F">
      <w:pPr>
        <w:pStyle w:val="ListParagraph"/>
        <w:numPr>
          <w:ilvl w:val="0"/>
          <w:numId w:val="39"/>
        </w:numPr>
        <w:rPr>
          <w:lang w:val="en-GB"/>
        </w:rPr>
      </w:pPr>
      <w:r>
        <w:rPr>
          <w:lang w:val="en-GB"/>
        </w:rPr>
        <w:t xml:space="preserve">Determine the </w:t>
      </w:r>
      <w:r w:rsidRPr="00AD47EC">
        <w:rPr>
          <w:i/>
          <w:lang w:val="en-GB"/>
        </w:rPr>
        <w:t>TBS</w:t>
      </w:r>
      <w:r w:rsidRPr="00AD47EC">
        <w:rPr>
          <w:i/>
          <w:vertAlign w:val="subscript"/>
          <w:lang w:val="en-GB"/>
        </w:rPr>
        <w:t>max</w:t>
      </w:r>
      <w:r>
        <w:rPr>
          <w:lang w:val="en-GB"/>
        </w:rPr>
        <w:t xml:space="preserve"> maximum TBS based on the UE capability</w:t>
      </w:r>
    </w:p>
    <w:p w14:paraId="2DE5B8B8" w14:textId="77777777" w:rsidR="00E91E2F" w:rsidRDefault="00E91E2F" w:rsidP="00E91E2F">
      <w:pPr>
        <w:pStyle w:val="ListParagraph"/>
        <w:numPr>
          <w:ilvl w:val="1"/>
          <w:numId w:val="39"/>
        </w:numPr>
        <w:rPr>
          <w:lang w:val="en-GB"/>
        </w:rPr>
      </w:pPr>
      <w:r>
        <w:rPr>
          <w:lang w:val="en-GB"/>
        </w:rPr>
        <w:t>This is at least based on the maximum supportable number of subcarriers (across all configurable BWPs), modulation order, and number of MIMO layers</w:t>
      </w:r>
    </w:p>
    <w:p w14:paraId="60EC48A7" w14:textId="77777777" w:rsidR="00E91E2F" w:rsidRDefault="00E91E2F" w:rsidP="00E91E2F">
      <w:pPr>
        <w:pStyle w:val="ListParagraph"/>
        <w:numPr>
          <w:ilvl w:val="1"/>
          <w:numId w:val="39"/>
        </w:numPr>
        <w:rPr>
          <w:lang w:val="en-GB"/>
        </w:rPr>
      </w:pPr>
      <w:r>
        <w:rPr>
          <w:lang w:val="en-GB"/>
        </w:rPr>
        <w:t>In some cases the UE capability may depend on the maximum across different supportable combinations of such parameters (e.g., see [3] and [4])</w:t>
      </w:r>
    </w:p>
    <w:p w14:paraId="63AC1864" w14:textId="77777777" w:rsidR="00E91E2F" w:rsidRDefault="00E91E2F" w:rsidP="00E91E2F">
      <w:pPr>
        <w:pStyle w:val="ListParagraph"/>
        <w:numPr>
          <w:ilvl w:val="0"/>
          <w:numId w:val="39"/>
        </w:numPr>
        <w:rPr>
          <w:lang w:val="en-GB"/>
        </w:rPr>
      </w:pPr>
      <w:r>
        <w:rPr>
          <w:lang w:val="en-GB"/>
        </w:rPr>
        <w:t>If LDPC base graph 1 is selected</w:t>
      </w:r>
    </w:p>
    <w:p w14:paraId="5C30997B" w14:textId="77777777" w:rsidR="00E91E2F" w:rsidRPr="005F329A" w:rsidRDefault="00E91E2F" w:rsidP="00E91E2F">
      <w:pPr>
        <w:pStyle w:val="ListParagraph"/>
        <w:numPr>
          <w:ilvl w:val="1"/>
          <w:numId w:val="39"/>
        </w:numPr>
        <w:rPr>
          <w:lang w:val="en-GB"/>
        </w:rPr>
      </w:pPr>
      <w:r>
        <w:rPr>
          <w:lang w:val="en-GB"/>
        </w:rPr>
        <w:t xml:space="preserve">Let </w:t>
      </w:r>
      <w:r w:rsidRPr="00B82143">
        <w:rPr>
          <w:position w:val="-12"/>
        </w:rPr>
        <w:object w:dxaOrig="980" w:dyaOrig="360" w14:anchorId="3DE86AB3">
          <v:shape id="_x0000_i1391" type="#_x0000_t75" style="width:40.2pt;height:14.95pt" o:ole="">
            <v:imagedata r:id="rId26" o:title=""/>
          </v:shape>
          <o:OLEObject Type="Embed" ProgID="Equation.3" ShapeID="_x0000_i1391" DrawAspect="Content" ObjectID="_1572466253" r:id="rId27"/>
        </w:object>
      </w:r>
    </w:p>
    <w:p w14:paraId="4F7CE5C4" w14:textId="77777777" w:rsidR="00E91E2F" w:rsidRPr="005F329A" w:rsidRDefault="00E91E2F" w:rsidP="00E91E2F">
      <w:pPr>
        <w:pStyle w:val="ListParagraph"/>
        <w:numPr>
          <w:ilvl w:val="1"/>
          <w:numId w:val="39"/>
        </w:numPr>
        <w:rPr>
          <w:lang w:val="en-GB"/>
        </w:rPr>
      </w:pPr>
      <w:r>
        <w:t xml:space="preserve">Let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m:t>
        </m:r>
        <m:r>
          <m:rPr>
            <m:sty m:val="p"/>
          </m:rPr>
          <w:rPr>
            <w:rFonts w:ascii="Cambria Math" w:hAnsi="Cambria Math"/>
          </w:rPr>
          <m:t>min⁡</m:t>
        </m:r>
        <m:r>
          <w:rPr>
            <w:rFonts w:ascii="Cambria Math" w:hAnsi="Cambria Math"/>
          </w:rPr>
          <m:t>(N,</m:t>
        </m:r>
        <m:f>
          <m:fPr>
            <m:ctrlPr>
              <w:rPr>
                <w:rFonts w:ascii="Cambria Math" w:hAnsi="Cambria Math"/>
                <w:i/>
              </w:rPr>
            </m:ctrlPr>
          </m:fPr>
          <m:num>
            <m:r>
              <w:rPr>
                <w:rFonts w:ascii="Cambria Math" w:hAnsi="Cambria Math"/>
              </w:rPr>
              <m:t>N</m:t>
            </m:r>
            <m:sSub>
              <m:sSubPr>
                <m:ctrlPr>
                  <w:rPr>
                    <w:rFonts w:ascii="Cambria Math" w:hAnsi="Cambria Math"/>
                    <w:i/>
                  </w:rPr>
                </m:ctrlPr>
              </m:sSubPr>
              <m:e>
                <m:r>
                  <w:rPr>
                    <w:rFonts w:ascii="Cambria Math" w:hAnsi="Cambria Math"/>
                  </w:rPr>
                  <m:t>∙TBS</m:t>
                </m:r>
              </m:e>
              <m:sub>
                <m:r>
                  <w:rPr>
                    <w:rFonts w:ascii="Cambria Math" w:hAnsi="Cambria Math"/>
                  </w:rPr>
                  <m:t>max</m:t>
                </m:r>
              </m:sub>
            </m:sSub>
          </m:num>
          <m:den>
            <m:sSub>
              <m:sSubPr>
                <m:ctrlPr>
                  <w:rPr>
                    <w:rFonts w:ascii="Cambria Math" w:hAnsi="Cambria Math"/>
                    <w:i/>
                  </w:rPr>
                </m:ctrlPr>
              </m:sSubPr>
              <m:e>
                <m:r>
                  <w:rPr>
                    <w:rFonts w:ascii="Cambria Math" w:hAnsi="Cambria Math"/>
                  </w:rPr>
                  <m:t>R</m:t>
                </m:r>
              </m:e>
              <m:sub>
                <m:r>
                  <w:rPr>
                    <w:rFonts w:ascii="Cambria Math" w:hAnsi="Cambria Math"/>
                  </w:rPr>
                  <m:t>LBRM</m:t>
                </m:r>
              </m:sub>
            </m:sSub>
            <m:r>
              <w:rPr>
                <w:rFonts w:ascii="Cambria Math" w:hAnsi="Cambria Math"/>
              </w:rPr>
              <m:t>∙3∙TBS</m:t>
            </m:r>
          </m:den>
        </m:f>
        <m:r>
          <w:rPr>
            <w:rFonts w:ascii="Cambria Math" w:hAnsi="Cambria Math"/>
          </w:rPr>
          <m:t>)</m:t>
        </m:r>
      </m:oMath>
    </w:p>
    <w:p w14:paraId="05876121" w14:textId="77777777" w:rsidR="00E91E2F" w:rsidRDefault="00E91E2F" w:rsidP="00E91E2F">
      <w:pPr>
        <w:pStyle w:val="ListParagraph"/>
        <w:numPr>
          <w:ilvl w:val="0"/>
          <w:numId w:val="39"/>
        </w:numPr>
        <w:rPr>
          <w:lang w:val="en-GB"/>
        </w:rPr>
      </w:pPr>
      <w:r>
        <w:t>Otherwise if LDPC base graph 2 is selected</w:t>
      </w:r>
    </w:p>
    <w:p w14:paraId="35A5E90F" w14:textId="77777777" w:rsidR="00E91E2F" w:rsidRPr="005F329A" w:rsidRDefault="00E91E2F" w:rsidP="00E91E2F">
      <w:pPr>
        <w:pStyle w:val="ListParagraph"/>
        <w:numPr>
          <w:ilvl w:val="1"/>
          <w:numId w:val="39"/>
        </w:numPr>
        <w:rPr>
          <w:lang w:val="en-GB"/>
        </w:rPr>
      </w:pPr>
      <w:r>
        <w:rPr>
          <w:lang w:val="en-GB"/>
        </w:rPr>
        <w:t>Let</w:t>
      </w:r>
      <w:r>
        <w:rPr>
          <w:rFonts w:hint="eastAsia"/>
          <w:lang w:eastAsia="zh-CN"/>
        </w:rPr>
        <w:t xml:space="preserve"> </w:t>
      </w:r>
      <w:r w:rsidRPr="00B82143">
        <w:rPr>
          <w:position w:val="-12"/>
        </w:rPr>
        <w:object w:dxaOrig="980" w:dyaOrig="360" w14:anchorId="18521E29">
          <v:shape id="_x0000_i1390" type="#_x0000_t75" style="width:40.2pt;height:14.95pt" o:ole="">
            <v:imagedata r:id="rId28" o:title=""/>
          </v:shape>
          <o:OLEObject Type="Embed" ProgID="Equation.3" ShapeID="_x0000_i1390" DrawAspect="Content" ObjectID="_1572466254" r:id="rId29"/>
        </w:object>
      </w:r>
      <w:r>
        <w:rPr>
          <w:rFonts w:hint="eastAsia"/>
          <w:lang w:eastAsia="zh-CN"/>
        </w:rPr>
        <w:t xml:space="preserve"> </w:t>
      </w:r>
    </w:p>
    <w:p w14:paraId="38EAB586" w14:textId="77777777" w:rsidR="00E91E2F" w:rsidRPr="005F329A" w:rsidRDefault="00E91E2F" w:rsidP="00E91E2F">
      <w:pPr>
        <w:pStyle w:val="ListParagraph"/>
        <w:numPr>
          <w:ilvl w:val="1"/>
          <w:numId w:val="39"/>
        </w:numPr>
        <w:rPr>
          <w:lang w:val="en-GB"/>
        </w:rPr>
      </w:pPr>
      <w:r>
        <w:t xml:space="preserve">Let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m:t>
        </m:r>
        <m:r>
          <m:rPr>
            <m:sty m:val="p"/>
          </m:rPr>
          <w:rPr>
            <w:rFonts w:ascii="Cambria Math" w:hAnsi="Cambria Math"/>
          </w:rPr>
          <m:t>min⁡</m:t>
        </m:r>
        <m:r>
          <w:rPr>
            <w:rFonts w:ascii="Cambria Math" w:hAnsi="Cambria Math"/>
          </w:rPr>
          <m:t>(N,</m:t>
        </m:r>
        <m:f>
          <m:fPr>
            <m:ctrlPr>
              <w:rPr>
                <w:rFonts w:ascii="Cambria Math" w:hAnsi="Cambria Math"/>
                <w:i/>
              </w:rPr>
            </m:ctrlPr>
          </m:fPr>
          <m:num>
            <m:r>
              <w:rPr>
                <w:rFonts w:ascii="Cambria Math" w:hAnsi="Cambria Math"/>
              </w:rPr>
              <m:t>N∙</m:t>
            </m:r>
            <m:sSub>
              <m:sSubPr>
                <m:ctrlPr>
                  <w:rPr>
                    <w:rFonts w:ascii="Cambria Math" w:hAnsi="Cambria Math"/>
                    <w:i/>
                  </w:rPr>
                </m:ctrlPr>
              </m:sSubPr>
              <m:e>
                <m:r>
                  <w:rPr>
                    <w:rFonts w:ascii="Cambria Math" w:hAnsi="Cambria Math"/>
                  </w:rPr>
                  <m:t>TBS</m:t>
                </m:r>
              </m:e>
              <m:sub>
                <m:r>
                  <w:rPr>
                    <w:rFonts w:ascii="Cambria Math" w:hAnsi="Cambria Math"/>
                  </w:rPr>
                  <m:t>max</m:t>
                </m:r>
              </m:sub>
            </m:sSub>
          </m:num>
          <m:den>
            <m:sSub>
              <m:sSubPr>
                <m:ctrlPr>
                  <w:rPr>
                    <w:rFonts w:ascii="Cambria Math" w:hAnsi="Cambria Math"/>
                    <w:i/>
                  </w:rPr>
                </m:ctrlPr>
              </m:sSubPr>
              <m:e>
                <m:r>
                  <w:rPr>
                    <w:rFonts w:ascii="Cambria Math" w:hAnsi="Cambria Math"/>
                  </w:rPr>
                  <m:t>R</m:t>
                </m:r>
              </m:e>
              <m:sub>
                <m:r>
                  <w:rPr>
                    <w:rFonts w:ascii="Cambria Math" w:hAnsi="Cambria Math"/>
                  </w:rPr>
                  <m:t>LBRM</m:t>
                </m:r>
              </m:sub>
            </m:sSub>
            <m:r>
              <w:rPr>
                <w:rFonts w:ascii="Cambria Math" w:hAnsi="Cambria Math"/>
              </w:rPr>
              <m:t>∙5∙TBS</m:t>
            </m:r>
          </m:den>
        </m:f>
        <m:r>
          <w:rPr>
            <w:rFonts w:ascii="Cambria Math" w:hAnsi="Cambria Math"/>
          </w:rPr>
          <m:t>)</m:t>
        </m:r>
      </m:oMath>
    </w:p>
    <w:p w14:paraId="0C71C8E5" w14:textId="02B6378F" w:rsidR="001577C8" w:rsidRPr="00AD47EC" w:rsidRDefault="001577C8" w:rsidP="005F329A">
      <w:pPr>
        <w:pStyle w:val="ListParagraph"/>
        <w:rPr>
          <w:lang w:val="en-GB"/>
        </w:rPr>
      </w:pPr>
    </w:p>
    <w:p w14:paraId="493597ED" w14:textId="3F136BF0" w:rsidR="005C191C" w:rsidRDefault="005F329A" w:rsidP="005C191C">
      <w:pPr>
        <w:rPr>
          <w:lang w:val="en-GB"/>
        </w:rPr>
      </w:pPr>
      <w:r w:rsidRPr="005F329A">
        <w:rPr>
          <w:lang w:val="en-GB"/>
        </w:rPr>
        <w:t xml:space="preserve">It is important to note that the above proposal keeps the LBRM rule constant regardless of the active bandwidth part, rather than having the maximum TBS scale with the active BWP bandwidth. </w:t>
      </w:r>
      <w:r w:rsidR="005C191C" w:rsidRPr="005F329A">
        <w:rPr>
          <w:lang w:val="en-GB"/>
        </w:rPr>
        <w:t>In RAN2 #99bis, it was agreed that “Do not flush HARQ buffers when doing BWP switching.” As a result, it is expected that HARQ retransmission can occur across BWP switch. From physical layer perspective, to fulfill this requirement the maximum TBS used in RLBRM calculation cannot scale with the configured BWP, but must be based on some maximum supportable BWP for the UE. This allows the rate matching buffer to be consistent across BWP switches, enabling soft-combining for IR HARQ gain</w:t>
      </w:r>
      <w:r w:rsidRPr="005F329A">
        <w:rPr>
          <w:lang w:val="en-GB"/>
        </w:rPr>
        <w:t>.</w:t>
      </w:r>
    </w:p>
    <w:p w14:paraId="67209A85" w14:textId="77777777" w:rsidR="005F329A" w:rsidRPr="005F329A" w:rsidRDefault="005F329A" w:rsidP="005C191C">
      <w:pPr>
        <w:rPr>
          <w:lang w:val="en-GB"/>
        </w:rPr>
      </w:pPr>
    </w:p>
    <w:p w14:paraId="3B681516" w14:textId="0EDE642E" w:rsidR="00D67333" w:rsidRDefault="00D67333" w:rsidP="00D67333">
      <w:pPr>
        <w:pStyle w:val="Heading1"/>
      </w:pPr>
      <w:r>
        <w:t xml:space="preserve">Further Discussion on </w:t>
      </w:r>
      <w:r w:rsidR="00EE583B">
        <w:t>Soft Buffer Dimensioning</w:t>
      </w:r>
    </w:p>
    <w:p w14:paraId="550125CD" w14:textId="370CAA59" w:rsidR="00EE583B" w:rsidRDefault="005E041E" w:rsidP="00EE583B">
      <w:r>
        <w:rPr>
          <w:lang w:val="en-GB"/>
        </w:rPr>
        <w:t xml:space="preserve">The following recommendation was made in a previous contribution [5]. </w:t>
      </w:r>
      <w:r w:rsidR="00EE583B">
        <w:rPr>
          <w:lang w:val="en-GB"/>
        </w:rPr>
        <w:t>Recall from RAN1 #89 that the following agreement was made [</w:t>
      </w:r>
      <w:r>
        <w:rPr>
          <w:lang w:val="en-GB"/>
        </w:rPr>
        <w:t>6</w:t>
      </w:r>
      <w:r w:rsidR="00EE583B">
        <w:rPr>
          <w:lang w:val="en-GB"/>
        </w:rPr>
        <w:t>]</w:t>
      </w:r>
      <w:r>
        <w:rPr>
          <w:lang w:val="en-GB"/>
        </w:rPr>
        <w:t>.</w:t>
      </w:r>
    </w:p>
    <w:p w14:paraId="7F25B321" w14:textId="45CE94A7" w:rsidR="00EE583B" w:rsidRDefault="00EE583B" w:rsidP="00EE583B">
      <w:r w:rsidRPr="00EE583B">
        <w:rPr>
          <w:highlight w:val="green"/>
        </w:rPr>
        <w:t>Agreement</w:t>
      </w:r>
    </w:p>
    <w:p w14:paraId="2813FD8B" w14:textId="77777777" w:rsidR="00EE583B" w:rsidRPr="002C6424" w:rsidRDefault="00EE583B" w:rsidP="00EE583B">
      <w:pPr>
        <w:pStyle w:val="ListParagraph"/>
        <w:numPr>
          <w:ilvl w:val="0"/>
          <w:numId w:val="40"/>
        </w:numPr>
        <w:rPr>
          <w:rFonts w:eastAsia="MS Mincho"/>
          <w:iCs/>
          <w:lang w:eastAsia="ja-JP"/>
        </w:rPr>
      </w:pPr>
      <w:r w:rsidRPr="002C6424">
        <w:rPr>
          <w:rFonts w:eastAsia="MS Mincho"/>
          <w:iCs/>
          <w:lang w:eastAsia="ja-JP"/>
        </w:rPr>
        <w:t>A set of reference parameters is used for the purpose of soft buffer dimensioning</w:t>
      </w:r>
    </w:p>
    <w:p w14:paraId="21F28FB2"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A reference set of parameters includes at least DL HARQ RTT [</w:t>
      </w:r>
      <w:r w:rsidRPr="002C6424">
        <w:rPr>
          <w:rFonts w:eastAsia="MS Mincho"/>
          <w:i/>
          <w:iCs/>
          <w:lang w:eastAsia="ja-JP"/>
        </w:rPr>
        <w:t>Y</w:t>
      </w:r>
      <w:r w:rsidRPr="002C6424">
        <w:rPr>
          <w:rFonts w:eastAsia="MS Mincho"/>
          <w:iCs/>
          <w:lang w:eastAsia="ja-JP"/>
        </w:rPr>
        <w:t xml:space="preserve"> ms] and data rate(s) of </w:t>
      </w:r>
      <w:r w:rsidRPr="002C6424">
        <w:rPr>
          <w:rFonts w:eastAsia="MS Mincho"/>
          <w:i/>
          <w:iCs/>
          <w:lang w:eastAsia="ja-JP"/>
        </w:rPr>
        <w:t>X</w:t>
      </w:r>
      <w:r w:rsidRPr="002C6424">
        <w:rPr>
          <w:rFonts w:eastAsia="MS Mincho"/>
          <w:iCs/>
          <w:lang w:eastAsia="ja-JP"/>
        </w:rPr>
        <w:t xml:space="preserve"> Gbps </w:t>
      </w:r>
    </w:p>
    <w:p w14:paraId="717F5D1A"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 xml:space="preserve">FFS: values of </w:t>
      </w:r>
      <w:r w:rsidRPr="002C6424">
        <w:rPr>
          <w:rFonts w:eastAsia="MS Mincho"/>
          <w:i/>
          <w:iCs/>
          <w:lang w:eastAsia="ja-JP"/>
        </w:rPr>
        <w:t>X</w:t>
      </w:r>
      <w:r w:rsidRPr="002C6424">
        <w:rPr>
          <w:rFonts w:eastAsia="MS Mincho"/>
          <w:iCs/>
          <w:lang w:eastAsia="ja-JP"/>
        </w:rPr>
        <w:t xml:space="preserve"> and </w:t>
      </w:r>
      <w:r w:rsidRPr="002C6424">
        <w:rPr>
          <w:rFonts w:eastAsia="MS Mincho"/>
          <w:i/>
          <w:iCs/>
          <w:lang w:eastAsia="ja-JP"/>
        </w:rPr>
        <w:t>Y</w:t>
      </w:r>
    </w:p>
    <w:p w14:paraId="3E23AC8D"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FFS: other conditions</w:t>
      </w:r>
    </w:p>
    <w:p w14:paraId="799F6BAB"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This does not imply UE has to have a HARQ-ACK timing based on the reference HARQ RTT</w:t>
      </w:r>
    </w:p>
    <w:p w14:paraId="73F28624"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FFS: how different UE categories are defined</w:t>
      </w:r>
    </w:p>
    <w:p w14:paraId="3A10F935"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LBRM is taken into account</w:t>
      </w:r>
    </w:p>
    <w:p w14:paraId="38352FE9" w14:textId="77777777" w:rsidR="00EE583B" w:rsidRPr="002C6424" w:rsidRDefault="00EE583B" w:rsidP="00EE583B">
      <w:pPr>
        <w:pStyle w:val="ListParagraph"/>
        <w:numPr>
          <w:ilvl w:val="0"/>
          <w:numId w:val="40"/>
        </w:numPr>
        <w:rPr>
          <w:rFonts w:eastAsia="MS Mincho"/>
          <w:iCs/>
          <w:lang w:eastAsia="ja-JP"/>
        </w:rPr>
      </w:pPr>
      <w:r w:rsidRPr="002C6424">
        <w:rPr>
          <w:rFonts w:eastAsia="MS Mincho"/>
          <w:iCs/>
          <w:lang w:eastAsia="ja-JP"/>
        </w:rPr>
        <w:t xml:space="preserve">Maximum number of HARQ processes per carrier supported in NR is 8 or 16 </w:t>
      </w:r>
    </w:p>
    <w:p w14:paraId="6B7BC653"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This is at least for the single numerology case and a slot-level scheduling and single-TRxP transmission</w:t>
      </w:r>
    </w:p>
    <w:p w14:paraId="06743F57"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FFS: down-selection of 8 or 16</w:t>
      </w:r>
    </w:p>
    <w:p w14:paraId="34AE9059" w14:textId="77777777" w:rsidR="00EE583B" w:rsidRPr="002C6424" w:rsidRDefault="00EE583B" w:rsidP="00EE583B">
      <w:pPr>
        <w:pStyle w:val="ListParagraph"/>
        <w:numPr>
          <w:ilvl w:val="1"/>
          <w:numId w:val="40"/>
        </w:numPr>
        <w:rPr>
          <w:rFonts w:eastAsia="MS Mincho"/>
          <w:iCs/>
          <w:lang w:eastAsia="ja-JP"/>
        </w:rPr>
      </w:pPr>
      <w:r w:rsidRPr="002C6424">
        <w:rPr>
          <w:rFonts w:eastAsia="MS Mincho"/>
          <w:iCs/>
          <w:lang w:eastAsia="ja-JP"/>
        </w:rPr>
        <w:t>FFS: soft-buffer handling</w:t>
      </w:r>
    </w:p>
    <w:p w14:paraId="27E47276" w14:textId="77777777" w:rsidR="00EE583B" w:rsidRDefault="00EE583B" w:rsidP="00EE583B">
      <w:pPr>
        <w:pStyle w:val="ListParagraph"/>
        <w:numPr>
          <w:ilvl w:val="0"/>
          <w:numId w:val="40"/>
        </w:numPr>
      </w:pPr>
      <w:r w:rsidRPr="002C6424">
        <w:rPr>
          <w:rFonts w:eastAsia="MS Mincho"/>
          <w:iCs/>
          <w:lang w:eastAsia="ja-JP"/>
        </w:rPr>
        <w:t>FFS: the value may be different depending on a certain condition (e.g., subcarrier spacing)</w:t>
      </w:r>
      <w:r w:rsidDel="00D35EA2">
        <w:t xml:space="preserve"> </w:t>
      </w:r>
    </w:p>
    <w:p w14:paraId="0E31D4D5" w14:textId="77777777" w:rsidR="00EE583B" w:rsidRPr="00EE583B" w:rsidRDefault="00EE583B" w:rsidP="00EE583B">
      <w:pPr>
        <w:rPr>
          <w:lang w:val="en-GB"/>
        </w:rPr>
      </w:pPr>
    </w:p>
    <w:p w14:paraId="27945C6E" w14:textId="4A926061" w:rsidR="00EE583B" w:rsidRDefault="00EE583B" w:rsidP="00EE583B">
      <w:r>
        <w:rPr>
          <w:lang w:val="en-GB"/>
        </w:rPr>
        <w:t>It should be emphasized that the reason for targeting lower HARQ RTT when considering very high throughputs, is that typical applications (e.g., those on TCP) will not be able to use the high physical layer throughputs otherwise. A detailed analysis was presented i</w:t>
      </w:r>
      <w:r w:rsidR="005E041E">
        <w:rPr>
          <w:lang w:val="en-GB"/>
        </w:rPr>
        <w:t>n [7]</w:t>
      </w:r>
      <w:r>
        <w:rPr>
          <w:lang w:val="en-GB"/>
        </w:rPr>
        <w:t xml:space="preserve">, and example is shown below from this reference. </w:t>
      </w:r>
      <w:r>
        <w:t>Here we see that even though the offered physical layer rate is 10Gbps, the effect of TCP slow start means that the transaction utilizes less than 1Gbps, and this dramatically decreases as the RTT increases.</w:t>
      </w:r>
      <w:r w:rsidR="005E041E">
        <w:t xml:space="preserve"> Therefore, it can be beneficial not to burden the implementation with large soft buffer dimensioning requirements.</w:t>
      </w:r>
    </w:p>
    <w:p w14:paraId="01AA9CCA" w14:textId="77777777" w:rsidR="00EE583B" w:rsidRDefault="00EE583B" w:rsidP="00EE583B">
      <w:pPr>
        <w:rPr>
          <w:lang w:val="en-GB"/>
        </w:rPr>
      </w:pPr>
    </w:p>
    <w:p w14:paraId="094DA709" w14:textId="77777777" w:rsidR="00EE583B" w:rsidRDefault="00EE583B" w:rsidP="00EE583B">
      <w:pPr>
        <w:keepNext/>
        <w:jc w:val="center"/>
      </w:pPr>
      <w:r>
        <w:rPr>
          <w:noProof/>
        </w:rPr>
        <w:drawing>
          <wp:inline distT="0" distB="0" distL="0" distR="0" wp14:anchorId="106D1639" wp14:editId="43FA3178">
            <wp:extent cx="5867400" cy="3455011"/>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81146" cy="3463105"/>
                    </a:xfrm>
                    <a:prstGeom prst="rect">
                      <a:avLst/>
                    </a:prstGeom>
                  </pic:spPr>
                </pic:pic>
              </a:graphicData>
            </a:graphic>
          </wp:inline>
        </w:drawing>
      </w:r>
    </w:p>
    <w:p w14:paraId="030DB9DA" w14:textId="50D937E8" w:rsidR="00EE583B" w:rsidRDefault="00EE583B" w:rsidP="00EE583B">
      <w:pPr>
        <w:pStyle w:val="Caption"/>
        <w:jc w:val="center"/>
      </w:pPr>
      <w:bookmarkStart w:id="2" w:name="_Ref485396426"/>
      <w:r>
        <w:t xml:space="preserve">Figure </w:t>
      </w:r>
      <w:r>
        <w:fldChar w:fldCharType="begin"/>
      </w:r>
      <w:r>
        <w:instrText xml:space="preserve"> SEQ Figure \* ARABIC </w:instrText>
      </w:r>
      <w:r>
        <w:fldChar w:fldCharType="separate"/>
      </w:r>
      <w:r>
        <w:rPr>
          <w:noProof/>
        </w:rPr>
        <w:t>4</w:t>
      </w:r>
      <w:r>
        <w:rPr>
          <w:noProof/>
        </w:rPr>
        <w:fldChar w:fldCharType="end"/>
      </w:r>
      <w:bookmarkEnd w:id="2"/>
      <w:r>
        <w:t xml:space="preserve">. Measured TCP Throughput sensitivity to latency and PER when PHY=10Gbps from </w:t>
      </w:r>
      <w:r>
        <w:rPr>
          <w:lang w:val="en-GB"/>
        </w:rPr>
        <w:fldChar w:fldCharType="begin"/>
      </w:r>
      <w:r>
        <w:rPr>
          <w:lang w:val="en-GB"/>
        </w:rPr>
        <w:instrText xml:space="preserve"> REF _Ref492911265 \r \h </w:instrText>
      </w:r>
      <w:r>
        <w:rPr>
          <w:lang w:val="en-GB"/>
        </w:rPr>
      </w:r>
      <w:r>
        <w:rPr>
          <w:lang w:val="en-GB"/>
        </w:rPr>
        <w:fldChar w:fldCharType="separate"/>
      </w:r>
      <w:r>
        <w:rPr>
          <w:lang w:val="en-GB"/>
        </w:rPr>
        <w:t>[</w:t>
      </w:r>
      <w:r w:rsidR="001B6470">
        <w:rPr>
          <w:lang w:val="en-GB"/>
        </w:rPr>
        <w:t>7</w:t>
      </w:r>
      <w:r>
        <w:rPr>
          <w:lang w:val="en-GB"/>
        </w:rPr>
        <w:t>]</w:t>
      </w:r>
      <w:r>
        <w:rPr>
          <w:lang w:val="en-GB"/>
        </w:rPr>
        <w:fldChar w:fldCharType="end"/>
      </w:r>
      <w:r>
        <w:t xml:space="preserve"> </w:t>
      </w:r>
    </w:p>
    <w:p w14:paraId="409F7F6E" w14:textId="77777777" w:rsidR="00EE583B" w:rsidRDefault="00EE583B" w:rsidP="00EE583B"/>
    <w:p w14:paraId="1A10E540" w14:textId="52367508" w:rsidR="00D67333" w:rsidRDefault="00EE583B" w:rsidP="00EE583B">
      <w:pPr>
        <w:rPr>
          <w:lang w:val="en-GB"/>
        </w:rPr>
      </w:pPr>
      <w:r w:rsidRPr="000814BF">
        <w:rPr>
          <w:b/>
          <w:u w:val="single"/>
        </w:rPr>
        <w:t xml:space="preserve">Proposal </w:t>
      </w:r>
      <w:r w:rsidR="005E041E">
        <w:rPr>
          <w:b/>
          <w:u w:val="single"/>
        </w:rPr>
        <w:t>2</w:t>
      </w:r>
      <w:r w:rsidRPr="000814BF">
        <w:rPr>
          <w:b/>
          <w:u w:val="single"/>
        </w:rPr>
        <w:t>:</w:t>
      </w:r>
      <w:r>
        <w:t xml:space="preserve"> A </w:t>
      </w:r>
      <w:r w:rsidRPr="003D50C9">
        <w:rPr>
          <w:rFonts w:eastAsia="MS Mincho"/>
          <w:iCs/>
          <w:lang w:eastAsia="ja-JP"/>
        </w:rPr>
        <w:t xml:space="preserve">set of reference parameters </w:t>
      </w:r>
      <w:r>
        <w:rPr>
          <w:rFonts w:eastAsia="MS Mincho"/>
          <w:iCs/>
          <w:lang w:eastAsia="ja-JP"/>
        </w:rPr>
        <w:t>should be</w:t>
      </w:r>
      <w:r w:rsidRPr="003D50C9">
        <w:rPr>
          <w:rFonts w:eastAsia="MS Mincho"/>
          <w:iCs/>
          <w:lang w:eastAsia="ja-JP"/>
        </w:rPr>
        <w:t xml:space="preserve"> </w:t>
      </w:r>
      <w:r>
        <w:rPr>
          <w:rFonts w:eastAsia="MS Mincho"/>
          <w:iCs/>
          <w:lang w:eastAsia="ja-JP"/>
        </w:rPr>
        <w:t xml:space="preserve">considered </w:t>
      </w:r>
      <w:r w:rsidR="005E041E">
        <w:rPr>
          <w:rFonts w:eastAsia="MS Mincho"/>
          <w:iCs/>
          <w:lang w:eastAsia="ja-JP"/>
        </w:rPr>
        <w:t xml:space="preserve">for </w:t>
      </w:r>
      <w:r w:rsidRPr="003D50C9">
        <w:rPr>
          <w:rFonts w:eastAsia="MS Mincho"/>
          <w:iCs/>
          <w:lang w:eastAsia="ja-JP"/>
        </w:rPr>
        <w:t>soft buffer dimensioning</w:t>
      </w:r>
      <w:r>
        <w:rPr>
          <w:rFonts w:eastAsia="MS Mincho"/>
          <w:iCs/>
          <w:lang w:eastAsia="ja-JP"/>
        </w:rPr>
        <w:t xml:space="preserve"> which targets a downlink HARQ RTT of 1.5ms for a data rate of 5Gbps.</w:t>
      </w:r>
    </w:p>
    <w:p w14:paraId="5F2D3BCE" w14:textId="74818257" w:rsidR="00D67333" w:rsidRDefault="009115F7" w:rsidP="00593A38">
      <w:pPr>
        <w:pStyle w:val="Heading1"/>
      </w:pPr>
      <w:r>
        <w:t>Conclusions</w:t>
      </w:r>
    </w:p>
    <w:p w14:paraId="769D51C1" w14:textId="77777777" w:rsidR="00593A38" w:rsidRDefault="00593A38" w:rsidP="00593A38">
      <w:pPr>
        <w:rPr>
          <w:lang w:val="en-GB"/>
        </w:rPr>
      </w:pPr>
      <w:r w:rsidRPr="005F329A">
        <w:rPr>
          <w:b/>
          <w:u w:val="single"/>
          <w:lang w:val="en-GB"/>
        </w:rPr>
        <w:t>Proposal</w:t>
      </w:r>
      <w:r>
        <w:rPr>
          <w:b/>
          <w:u w:val="single"/>
          <w:lang w:val="en-GB"/>
        </w:rPr>
        <w:t xml:space="preserve"> 1</w:t>
      </w:r>
      <w:r w:rsidRPr="005F329A">
        <w:rPr>
          <w:b/>
          <w:u w:val="single"/>
          <w:lang w:val="en-GB"/>
        </w:rPr>
        <w:t>:</w:t>
      </w:r>
      <w:r>
        <w:rPr>
          <w:lang w:val="en-GB"/>
        </w:rPr>
        <w:t xml:space="preserve"> Limited buffer rate matching should be supported according to the procedure below</w:t>
      </w:r>
    </w:p>
    <w:p w14:paraId="0C56532D" w14:textId="77777777" w:rsidR="00593A38" w:rsidRDefault="00593A38" w:rsidP="00593A38">
      <w:pPr>
        <w:pStyle w:val="ListParagraph"/>
        <w:numPr>
          <w:ilvl w:val="0"/>
          <w:numId w:val="39"/>
        </w:numPr>
        <w:rPr>
          <w:lang w:val="en-GB"/>
        </w:rPr>
      </w:pPr>
      <w:r>
        <w:rPr>
          <w:lang w:val="en-GB"/>
        </w:rPr>
        <w:t xml:space="preserve">Determine the </w:t>
      </w:r>
      <w:r w:rsidRPr="00AD47EC">
        <w:rPr>
          <w:i/>
          <w:lang w:val="en-GB"/>
        </w:rPr>
        <w:t>TBS</w:t>
      </w:r>
      <w:r w:rsidRPr="00AD47EC">
        <w:rPr>
          <w:i/>
          <w:vertAlign w:val="subscript"/>
          <w:lang w:val="en-GB"/>
        </w:rPr>
        <w:t>max</w:t>
      </w:r>
      <w:r>
        <w:rPr>
          <w:lang w:val="en-GB"/>
        </w:rPr>
        <w:t xml:space="preserve"> maximum TBS based on the UE capability</w:t>
      </w:r>
    </w:p>
    <w:p w14:paraId="66C194C6" w14:textId="77777777" w:rsidR="00593A38" w:rsidRDefault="00593A38" w:rsidP="00593A38">
      <w:pPr>
        <w:pStyle w:val="ListParagraph"/>
        <w:numPr>
          <w:ilvl w:val="1"/>
          <w:numId w:val="39"/>
        </w:numPr>
        <w:rPr>
          <w:lang w:val="en-GB"/>
        </w:rPr>
      </w:pPr>
      <w:r>
        <w:rPr>
          <w:lang w:val="en-GB"/>
        </w:rPr>
        <w:t>This is at least based on the maximum supportable number of subcarriers (across all configurable BWPs), modulation order, and number of MIMO layers</w:t>
      </w:r>
    </w:p>
    <w:p w14:paraId="2B756F4F" w14:textId="77777777" w:rsidR="00593A38" w:rsidRDefault="00593A38" w:rsidP="00593A38">
      <w:pPr>
        <w:pStyle w:val="ListParagraph"/>
        <w:numPr>
          <w:ilvl w:val="1"/>
          <w:numId w:val="39"/>
        </w:numPr>
        <w:rPr>
          <w:lang w:val="en-GB"/>
        </w:rPr>
      </w:pPr>
      <w:r>
        <w:rPr>
          <w:lang w:val="en-GB"/>
        </w:rPr>
        <w:t>In some cases the UE capability may depend on the maximum across different supportable combinations of such parameters (e.g., see [3] and [4])</w:t>
      </w:r>
    </w:p>
    <w:p w14:paraId="533BFB72" w14:textId="77777777" w:rsidR="00593A38" w:rsidRDefault="00593A38" w:rsidP="00593A38">
      <w:pPr>
        <w:pStyle w:val="ListParagraph"/>
        <w:numPr>
          <w:ilvl w:val="0"/>
          <w:numId w:val="39"/>
        </w:numPr>
        <w:rPr>
          <w:lang w:val="en-GB"/>
        </w:rPr>
      </w:pPr>
      <w:r>
        <w:rPr>
          <w:lang w:val="en-GB"/>
        </w:rPr>
        <w:t>If LDPC base graph 1 is selected</w:t>
      </w:r>
    </w:p>
    <w:p w14:paraId="3F2A24C6" w14:textId="77777777" w:rsidR="00593A38" w:rsidRPr="005F329A" w:rsidRDefault="00593A38" w:rsidP="00593A38">
      <w:pPr>
        <w:pStyle w:val="ListParagraph"/>
        <w:numPr>
          <w:ilvl w:val="1"/>
          <w:numId w:val="39"/>
        </w:numPr>
        <w:rPr>
          <w:lang w:val="en-GB"/>
        </w:rPr>
      </w:pPr>
      <w:r>
        <w:rPr>
          <w:lang w:val="en-GB"/>
        </w:rPr>
        <w:t xml:space="preserve">Let </w:t>
      </w:r>
      <w:r w:rsidRPr="00B82143">
        <w:rPr>
          <w:position w:val="-12"/>
        </w:rPr>
        <w:object w:dxaOrig="980" w:dyaOrig="360" w14:anchorId="35BCBD89">
          <v:shape id="_x0000_i1385" type="#_x0000_t75" style="width:40.2pt;height:14.95pt" o:ole="">
            <v:imagedata r:id="rId26" o:title=""/>
          </v:shape>
          <o:OLEObject Type="Embed" ProgID="Equation.3" ShapeID="_x0000_i1385" DrawAspect="Content" ObjectID="_1572466255" r:id="rId31"/>
        </w:object>
      </w:r>
    </w:p>
    <w:p w14:paraId="4ED18A08" w14:textId="6D3CEF19" w:rsidR="00593A38" w:rsidRPr="005F329A" w:rsidRDefault="00593A38" w:rsidP="00593A38">
      <w:pPr>
        <w:pStyle w:val="ListParagraph"/>
        <w:numPr>
          <w:ilvl w:val="1"/>
          <w:numId w:val="39"/>
        </w:numPr>
        <w:rPr>
          <w:lang w:val="en-GB"/>
        </w:rPr>
      </w:pPr>
      <w:r>
        <w:t xml:space="preserve">Let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m:t>
        </m:r>
        <m:r>
          <m:rPr>
            <m:sty m:val="p"/>
          </m:rPr>
          <w:rPr>
            <w:rFonts w:ascii="Cambria Math" w:hAnsi="Cambria Math"/>
          </w:rPr>
          <m:t>min⁡</m:t>
        </m:r>
        <m:r>
          <w:rPr>
            <w:rFonts w:ascii="Cambria Math" w:hAnsi="Cambria Math"/>
          </w:rPr>
          <m:t>(N,</m:t>
        </m:r>
        <m:f>
          <m:fPr>
            <m:ctrlPr>
              <w:rPr>
                <w:rFonts w:ascii="Cambria Math" w:hAnsi="Cambria Math"/>
                <w:i/>
              </w:rPr>
            </m:ctrlPr>
          </m:fPr>
          <m:num>
            <m:r>
              <w:rPr>
                <w:rFonts w:ascii="Cambria Math" w:hAnsi="Cambria Math"/>
              </w:rPr>
              <m:t>N</m:t>
            </m:r>
            <m:sSub>
              <m:sSubPr>
                <m:ctrlPr>
                  <w:rPr>
                    <w:rFonts w:ascii="Cambria Math" w:hAnsi="Cambria Math"/>
                    <w:i/>
                  </w:rPr>
                </m:ctrlPr>
              </m:sSubPr>
              <m:e>
                <m:r>
                  <w:rPr>
                    <w:rFonts w:ascii="Cambria Math" w:hAnsi="Cambria Math"/>
                  </w:rPr>
                  <m:t>∙</m:t>
                </m:r>
                <m:r>
                  <w:rPr>
                    <w:rFonts w:ascii="Cambria Math" w:hAnsi="Cambria Math"/>
                  </w:rPr>
                  <m:t>TBS</m:t>
                </m:r>
              </m:e>
              <m:sub>
                <m:r>
                  <w:rPr>
                    <w:rFonts w:ascii="Cambria Math" w:hAnsi="Cambria Math"/>
                  </w:rPr>
                  <m:t>max</m:t>
                </m:r>
              </m:sub>
            </m:sSub>
          </m:num>
          <m:den>
            <m:sSub>
              <m:sSubPr>
                <m:ctrlPr>
                  <w:rPr>
                    <w:rFonts w:ascii="Cambria Math" w:hAnsi="Cambria Math"/>
                    <w:i/>
                  </w:rPr>
                </m:ctrlPr>
              </m:sSubPr>
              <m:e>
                <m:r>
                  <w:rPr>
                    <w:rFonts w:ascii="Cambria Math" w:hAnsi="Cambria Math"/>
                  </w:rPr>
                  <m:t>R</m:t>
                </m:r>
              </m:e>
              <m:sub>
                <m:r>
                  <w:rPr>
                    <w:rFonts w:ascii="Cambria Math" w:hAnsi="Cambria Math"/>
                  </w:rPr>
                  <m:t>LBRM</m:t>
                </m:r>
              </m:sub>
            </m:sSub>
            <m:r>
              <w:rPr>
                <w:rFonts w:ascii="Cambria Math" w:hAnsi="Cambria Math"/>
              </w:rPr>
              <m:t>∙</m:t>
            </m:r>
            <m:r>
              <w:rPr>
                <w:rFonts w:ascii="Cambria Math" w:hAnsi="Cambria Math"/>
              </w:rPr>
              <m:t>3</m:t>
            </m:r>
            <m:r>
              <w:rPr>
                <w:rFonts w:ascii="Cambria Math" w:hAnsi="Cambria Math"/>
              </w:rPr>
              <m:t>∙</m:t>
            </m:r>
            <m:r>
              <w:rPr>
                <w:rFonts w:ascii="Cambria Math" w:hAnsi="Cambria Math"/>
              </w:rPr>
              <m:t>TBS</m:t>
            </m:r>
          </m:den>
        </m:f>
        <m:r>
          <w:rPr>
            <w:rFonts w:ascii="Cambria Math" w:hAnsi="Cambria Math"/>
          </w:rPr>
          <m:t>)</m:t>
        </m:r>
      </m:oMath>
    </w:p>
    <w:p w14:paraId="57A94765" w14:textId="77777777" w:rsidR="00593A38" w:rsidRDefault="00593A38" w:rsidP="00593A38">
      <w:pPr>
        <w:pStyle w:val="ListParagraph"/>
        <w:numPr>
          <w:ilvl w:val="0"/>
          <w:numId w:val="39"/>
        </w:numPr>
        <w:rPr>
          <w:lang w:val="en-GB"/>
        </w:rPr>
      </w:pPr>
      <w:r>
        <w:t>Otherwise if LDPC base graph 2 is selected</w:t>
      </w:r>
    </w:p>
    <w:p w14:paraId="1424DC83" w14:textId="77777777" w:rsidR="00593A38" w:rsidRPr="005F329A" w:rsidRDefault="00593A38" w:rsidP="00593A38">
      <w:pPr>
        <w:pStyle w:val="ListParagraph"/>
        <w:numPr>
          <w:ilvl w:val="1"/>
          <w:numId w:val="39"/>
        </w:numPr>
        <w:rPr>
          <w:lang w:val="en-GB"/>
        </w:rPr>
      </w:pPr>
      <w:r>
        <w:rPr>
          <w:lang w:val="en-GB"/>
        </w:rPr>
        <w:t>Let</w:t>
      </w:r>
      <w:r>
        <w:rPr>
          <w:rFonts w:hint="eastAsia"/>
          <w:lang w:eastAsia="zh-CN"/>
        </w:rPr>
        <w:t xml:space="preserve"> </w:t>
      </w:r>
      <w:r w:rsidRPr="00B82143">
        <w:rPr>
          <w:position w:val="-12"/>
        </w:rPr>
        <w:object w:dxaOrig="980" w:dyaOrig="360" w14:anchorId="24C00C1C">
          <v:shape id="_x0000_i1384" type="#_x0000_t75" style="width:40.2pt;height:14.95pt" o:ole="">
            <v:imagedata r:id="rId28" o:title=""/>
          </v:shape>
          <o:OLEObject Type="Embed" ProgID="Equation.3" ShapeID="_x0000_i1384" DrawAspect="Content" ObjectID="_1572466256" r:id="rId32"/>
        </w:object>
      </w:r>
      <w:r>
        <w:rPr>
          <w:rFonts w:hint="eastAsia"/>
          <w:lang w:eastAsia="zh-CN"/>
        </w:rPr>
        <w:t xml:space="preserve"> </w:t>
      </w:r>
    </w:p>
    <w:p w14:paraId="652C59DD" w14:textId="15E28F60" w:rsidR="00593A38" w:rsidRPr="005F329A" w:rsidRDefault="00593A38" w:rsidP="00593A38">
      <w:pPr>
        <w:pStyle w:val="ListParagraph"/>
        <w:numPr>
          <w:ilvl w:val="1"/>
          <w:numId w:val="39"/>
        </w:numPr>
        <w:rPr>
          <w:lang w:val="en-GB"/>
        </w:rPr>
      </w:pPr>
      <w:r>
        <w:t xml:space="preserve">Let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m:t>
        </m:r>
        <m:r>
          <m:rPr>
            <m:sty m:val="p"/>
          </m:rPr>
          <w:rPr>
            <w:rFonts w:ascii="Cambria Math" w:hAnsi="Cambria Math"/>
          </w:rPr>
          <m:t>min⁡</m:t>
        </m:r>
        <m:r>
          <w:rPr>
            <w:rFonts w:ascii="Cambria Math" w:hAnsi="Cambria Math"/>
          </w:rPr>
          <m:t>(N,</m:t>
        </m:r>
        <m:f>
          <m:fPr>
            <m:ctrlPr>
              <w:rPr>
                <w:rFonts w:ascii="Cambria Math" w:hAnsi="Cambria Math"/>
                <w:i/>
              </w:rPr>
            </m:ctrlPr>
          </m:fPr>
          <m:num>
            <m:r>
              <w:rPr>
                <w:rFonts w:ascii="Cambria Math" w:hAnsi="Cambria Math"/>
              </w:rPr>
              <m:t>N</m:t>
            </m:r>
            <m:r>
              <w:rPr>
                <w:rFonts w:ascii="Cambria Math" w:hAnsi="Cambria Math"/>
              </w:rPr>
              <m:t>∙</m:t>
            </m:r>
            <m:sSub>
              <m:sSubPr>
                <m:ctrlPr>
                  <w:rPr>
                    <w:rFonts w:ascii="Cambria Math" w:hAnsi="Cambria Math"/>
                    <w:i/>
                  </w:rPr>
                </m:ctrlPr>
              </m:sSubPr>
              <m:e>
                <m:r>
                  <w:rPr>
                    <w:rFonts w:ascii="Cambria Math" w:hAnsi="Cambria Math"/>
                  </w:rPr>
                  <m:t>TBS</m:t>
                </m:r>
              </m:e>
              <m:sub>
                <m:r>
                  <w:rPr>
                    <w:rFonts w:ascii="Cambria Math" w:hAnsi="Cambria Math"/>
                  </w:rPr>
                  <m:t>max</m:t>
                </m:r>
              </m:sub>
            </m:sSub>
          </m:num>
          <m:den>
            <m:sSub>
              <m:sSubPr>
                <m:ctrlPr>
                  <w:rPr>
                    <w:rFonts w:ascii="Cambria Math" w:hAnsi="Cambria Math"/>
                    <w:i/>
                  </w:rPr>
                </m:ctrlPr>
              </m:sSubPr>
              <m:e>
                <m:r>
                  <w:rPr>
                    <w:rFonts w:ascii="Cambria Math" w:hAnsi="Cambria Math"/>
                  </w:rPr>
                  <m:t>R</m:t>
                </m:r>
              </m:e>
              <m:sub>
                <m:r>
                  <w:rPr>
                    <w:rFonts w:ascii="Cambria Math" w:hAnsi="Cambria Math"/>
                  </w:rPr>
                  <m:t>LBRM</m:t>
                </m:r>
              </m:sub>
            </m:sSub>
            <m:r>
              <w:rPr>
                <w:rFonts w:ascii="Cambria Math" w:hAnsi="Cambria Math"/>
              </w:rPr>
              <m:t>∙</m:t>
            </m:r>
            <m:r>
              <w:rPr>
                <w:rFonts w:ascii="Cambria Math" w:hAnsi="Cambria Math"/>
              </w:rPr>
              <m:t>5</m:t>
            </m:r>
            <m:r>
              <w:rPr>
                <w:rFonts w:ascii="Cambria Math" w:hAnsi="Cambria Math"/>
              </w:rPr>
              <m:t>∙</m:t>
            </m:r>
            <m:r>
              <w:rPr>
                <w:rFonts w:ascii="Cambria Math" w:hAnsi="Cambria Math"/>
              </w:rPr>
              <m:t>TBS</m:t>
            </m:r>
          </m:den>
        </m:f>
        <m:r>
          <w:rPr>
            <w:rFonts w:ascii="Cambria Math" w:hAnsi="Cambria Math"/>
          </w:rPr>
          <m:t>)</m:t>
        </m:r>
      </m:oMath>
    </w:p>
    <w:p w14:paraId="27723CEB" w14:textId="489293AC" w:rsidR="00593A38" w:rsidRPr="00593A38" w:rsidRDefault="00593A38" w:rsidP="00593A38">
      <w:pPr>
        <w:rPr>
          <w:lang w:val="en-GB"/>
        </w:rPr>
      </w:pPr>
    </w:p>
    <w:p w14:paraId="5D25CA6F" w14:textId="47282335" w:rsidR="00593A38" w:rsidRPr="00593A38" w:rsidRDefault="00593A38" w:rsidP="00593A38">
      <w:pPr>
        <w:rPr>
          <w:lang w:val="en-GB"/>
        </w:rPr>
      </w:pPr>
      <w:r w:rsidRPr="000814BF">
        <w:rPr>
          <w:b/>
          <w:u w:val="single"/>
        </w:rPr>
        <w:t xml:space="preserve">Proposal </w:t>
      </w:r>
      <w:r>
        <w:rPr>
          <w:b/>
          <w:u w:val="single"/>
        </w:rPr>
        <w:t>2</w:t>
      </w:r>
      <w:r w:rsidRPr="000814BF">
        <w:rPr>
          <w:b/>
          <w:u w:val="single"/>
        </w:rPr>
        <w:t>:</w:t>
      </w:r>
      <w:r>
        <w:t xml:space="preserve"> A </w:t>
      </w:r>
      <w:r w:rsidRPr="003D50C9">
        <w:rPr>
          <w:rFonts w:eastAsia="MS Mincho"/>
          <w:iCs/>
          <w:lang w:eastAsia="ja-JP"/>
        </w:rPr>
        <w:t xml:space="preserve">set of reference parameters </w:t>
      </w:r>
      <w:r>
        <w:rPr>
          <w:rFonts w:eastAsia="MS Mincho"/>
          <w:iCs/>
          <w:lang w:eastAsia="ja-JP"/>
        </w:rPr>
        <w:t>should be</w:t>
      </w:r>
      <w:r w:rsidRPr="003D50C9">
        <w:rPr>
          <w:rFonts w:eastAsia="MS Mincho"/>
          <w:iCs/>
          <w:lang w:eastAsia="ja-JP"/>
        </w:rPr>
        <w:t xml:space="preserve"> </w:t>
      </w:r>
      <w:r>
        <w:rPr>
          <w:rFonts w:eastAsia="MS Mincho"/>
          <w:iCs/>
          <w:lang w:eastAsia="ja-JP"/>
        </w:rPr>
        <w:t xml:space="preserve">considered for </w:t>
      </w:r>
      <w:r w:rsidRPr="003D50C9">
        <w:rPr>
          <w:rFonts w:eastAsia="MS Mincho"/>
          <w:iCs/>
          <w:lang w:eastAsia="ja-JP"/>
        </w:rPr>
        <w:t>soft buffer dimensioning</w:t>
      </w:r>
      <w:r>
        <w:rPr>
          <w:rFonts w:eastAsia="MS Mincho"/>
          <w:iCs/>
          <w:lang w:eastAsia="ja-JP"/>
        </w:rPr>
        <w:t xml:space="preserve"> which targets a downlink HARQ RTT of 1.5ms for a data rate of 5Gbps.</w:t>
      </w: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t>References</w:t>
      </w:r>
    </w:p>
    <w:p w14:paraId="0CE3836B" w14:textId="478AE7D0" w:rsidR="00352C3F" w:rsidRDefault="00117070" w:rsidP="00352C3F">
      <w:pPr>
        <w:numPr>
          <w:ilvl w:val="0"/>
          <w:numId w:val="2"/>
        </w:numPr>
        <w:spacing w:before="100" w:beforeAutospacing="1" w:after="100" w:afterAutospacing="1"/>
        <w:rPr>
          <w:szCs w:val="22"/>
        </w:rPr>
      </w:pPr>
      <w:r>
        <w:rPr>
          <w:szCs w:val="22"/>
        </w:rPr>
        <w:t>RAN1 #90bis Chairman’s Notes (with email approval update), Prague, Czech Republic</w:t>
      </w:r>
    </w:p>
    <w:p w14:paraId="36EBE743" w14:textId="267C39B5" w:rsidR="00AD47EC" w:rsidRDefault="00AD47EC" w:rsidP="00352C3F">
      <w:pPr>
        <w:numPr>
          <w:ilvl w:val="0"/>
          <w:numId w:val="2"/>
        </w:numPr>
        <w:spacing w:before="100" w:beforeAutospacing="1" w:after="100" w:afterAutospacing="1"/>
        <w:rPr>
          <w:szCs w:val="22"/>
        </w:rPr>
      </w:pPr>
      <w:r>
        <w:rPr>
          <w:szCs w:val="22"/>
        </w:rPr>
        <w:t>R1-1719245, TS 38.212 v1.1.2</w:t>
      </w:r>
    </w:p>
    <w:p w14:paraId="16F88CBE" w14:textId="52C8B27D" w:rsidR="001577C8" w:rsidRPr="001577C8" w:rsidRDefault="001577C8" w:rsidP="001577C8">
      <w:pPr>
        <w:numPr>
          <w:ilvl w:val="0"/>
          <w:numId w:val="2"/>
        </w:numPr>
        <w:spacing w:before="100" w:beforeAutospacing="1" w:after="100" w:afterAutospacing="1"/>
        <w:rPr>
          <w:szCs w:val="22"/>
        </w:rPr>
      </w:pPr>
      <w:r w:rsidRPr="001577C8">
        <w:rPr>
          <w:szCs w:val="22"/>
        </w:rPr>
        <w:t>R1-1717314</w:t>
      </w:r>
      <w:r>
        <w:rPr>
          <w:szCs w:val="22"/>
        </w:rPr>
        <w:t>, “</w:t>
      </w:r>
      <w:r w:rsidRPr="001577C8">
        <w:rPr>
          <w:szCs w:val="22"/>
        </w:rPr>
        <w:t>On UE categories and capabilities in NR</w:t>
      </w:r>
      <w:r>
        <w:rPr>
          <w:szCs w:val="22"/>
        </w:rPr>
        <w:t>”,</w:t>
      </w:r>
      <w:r w:rsidRPr="001577C8">
        <w:rPr>
          <w:szCs w:val="22"/>
        </w:rPr>
        <w:tab/>
        <w:t>Intel Corporation</w:t>
      </w:r>
      <w:r>
        <w:rPr>
          <w:szCs w:val="22"/>
        </w:rPr>
        <w:t xml:space="preserve">, </w:t>
      </w:r>
      <w:r>
        <w:rPr>
          <w:szCs w:val="22"/>
        </w:rPr>
        <w:t>RAN1 #90bis, Prague, Czech Republic</w:t>
      </w:r>
    </w:p>
    <w:p w14:paraId="06BE94F9" w14:textId="5C0C2EFE" w:rsidR="001577C8" w:rsidRDefault="001577C8" w:rsidP="001577C8">
      <w:pPr>
        <w:numPr>
          <w:ilvl w:val="0"/>
          <w:numId w:val="2"/>
        </w:numPr>
        <w:spacing w:before="100" w:beforeAutospacing="1" w:after="100" w:afterAutospacing="1"/>
        <w:rPr>
          <w:szCs w:val="22"/>
        </w:rPr>
      </w:pPr>
      <w:r w:rsidRPr="001577C8">
        <w:rPr>
          <w:szCs w:val="22"/>
        </w:rPr>
        <w:t>R1-1718596</w:t>
      </w:r>
      <w:r>
        <w:rPr>
          <w:szCs w:val="22"/>
        </w:rPr>
        <w:t>, “</w:t>
      </w:r>
      <w:r w:rsidRPr="001577C8">
        <w:rPr>
          <w:szCs w:val="22"/>
        </w:rPr>
        <w:t>UE Categories</w:t>
      </w:r>
      <w:r>
        <w:rPr>
          <w:szCs w:val="22"/>
        </w:rPr>
        <w:t xml:space="preserve">”, </w:t>
      </w:r>
      <w:r w:rsidRPr="001577C8">
        <w:rPr>
          <w:szCs w:val="22"/>
        </w:rPr>
        <w:t>Qualcomm Incorporated</w:t>
      </w:r>
      <w:r>
        <w:rPr>
          <w:szCs w:val="22"/>
        </w:rPr>
        <w:t>, RAN1 #90bis, Prague, Czech Republic</w:t>
      </w:r>
    </w:p>
    <w:p w14:paraId="5A73A9C7" w14:textId="3C0E26D5" w:rsidR="005E041E" w:rsidRDefault="005E041E" w:rsidP="005E041E">
      <w:pPr>
        <w:numPr>
          <w:ilvl w:val="0"/>
          <w:numId w:val="2"/>
        </w:numPr>
        <w:spacing w:before="100" w:beforeAutospacing="1" w:after="100" w:afterAutospacing="1"/>
        <w:rPr>
          <w:szCs w:val="22"/>
        </w:rPr>
      </w:pPr>
      <w:r w:rsidRPr="005E041E">
        <w:rPr>
          <w:szCs w:val="22"/>
        </w:rPr>
        <w:t>R1-1716432</w:t>
      </w:r>
      <w:r>
        <w:rPr>
          <w:szCs w:val="22"/>
        </w:rPr>
        <w:t xml:space="preserve">, “Considerations on soft buffer management”, </w:t>
      </w:r>
      <w:r w:rsidRPr="005E041E">
        <w:rPr>
          <w:szCs w:val="22"/>
        </w:rPr>
        <w:t>Qualcomm Incorporated</w:t>
      </w:r>
      <w:r>
        <w:rPr>
          <w:szCs w:val="22"/>
        </w:rPr>
        <w:t>, RAN1 2017 AdHoc #3, Nagoya Japan</w:t>
      </w:r>
    </w:p>
    <w:p w14:paraId="143830B5" w14:textId="1D626474" w:rsidR="005E041E" w:rsidRDefault="005E041E" w:rsidP="005E041E">
      <w:pPr>
        <w:numPr>
          <w:ilvl w:val="0"/>
          <w:numId w:val="2"/>
        </w:numPr>
        <w:spacing w:before="100" w:beforeAutospacing="1" w:after="100" w:afterAutospacing="1"/>
        <w:rPr>
          <w:szCs w:val="22"/>
        </w:rPr>
      </w:pPr>
      <w:r>
        <w:rPr>
          <w:szCs w:val="22"/>
        </w:rPr>
        <w:t>RAN1 #</w:t>
      </w:r>
      <w:r>
        <w:rPr>
          <w:szCs w:val="22"/>
        </w:rPr>
        <w:t>89</w:t>
      </w:r>
      <w:r>
        <w:rPr>
          <w:szCs w:val="22"/>
        </w:rPr>
        <w:t xml:space="preserve"> Chairman’s Notes</w:t>
      </w:r>
      <w:r>
        <w:rPr>
          <w:szCs w:val="22"/>
        </w:rPr>
        <w:t>, Hangzhou, China</w:t>
      </w:r>
    </w:p>
    <w:p w14:paraId="62B47707" w14:textId="758F5C93" w:rsidR="005E041E" w:rsidRPr="005E041E" w:rsidRDefault="005E041E" w:rsidP="005E041E">
      <w:pPr>
        <w:numPr>
          <w:ilvl w:val="0"/>
          <w:numId w:val="2"/>
        </w:numPr>
        <w:spacing w:before="100" w:beforeAutospacing="1" w:after="100" w:afterAutospacing="1"/>
      </w:pPr>
      <w:bookmarkStart w:id="3" w:name="_Ref492911265"/>
      <w:r>
        <w:t>R1-1711205, “</w:t>
      </w:r>
      <w:r w:rsidRPr="008A3041">
        <w:t>Low latency Impact Analysis on User Plane and Control Plane</w:t>
      </w:r>
      <w:r>
        <w:t>”, Qualcomm Incorporated, RAN1 AdHoc #2, Qingdao, China</w:t>
      </w:r>
      <w:bookmarkEnd w:id="3"/>
    </w:p>
    <w:p w14:paraId="2044FBA0" w14:textId="09841D0E" w:rsidR="002E4881" w:rsidRDefault="002E4881" w:rsidP="002E4881">
      <w:pPr>
        <w:spacing w:before="100" w:beforeAutospacing="1" w:after="100" w:afterAutospacing="1"/>
      </w:pPr>
    </w:p>
    <w:sectPr w:rsidR="002E4881"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CB964" w14:textId="77777777" w:rsidR="0098007E" w:rsidRDefault="0098007E">
      <w:r>
        <w:separator/>
      </w:r>
    </w:p>
  </w:endnote>
  <w:endnote w:type="continuationSeparator" w:id="0">
    <w:p w14:paraId="31B2E60B" w14:textId="77777777" w:rsidR="0098007E" w:rsidRDefault="0098007E">
      <w:r>
        <w:continuationSeparator/>
      </w:r>
    </w:p>
  </w:endnote>
  <w:endnote w:type="continuationNotice" w:id="1">
    <w:p w14:paraId="4A27F58F" w14:textId="77777777" w:rsidR="0098007E" w:rsidRDefault="009800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EE588E" w:rsidRDefault="00EE58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EE588E" w:rsidRDefault="00EE58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5184AF75" w:rsidR="00EE588E" w:rsidRDefault="00EE58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54B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B6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D1C66" w14:textId="77777777" w:rsidR="0098007E" w:rsidRDefault="0098007E">
      <w:r>
        <w:separator/>
      </w:r>
    </w:p>
  </w:footnote>
  <w:footnote w:type="continuationSeparator" w:id="0">
    <w:p w14:paraId="65F06F9D" w14:textId="77777777" w:rsidR="0098007E" w:rsidRDefault="0098007E">
      <w:r>
        <w:continuationSeparator/>
      </w:r>
    </w:p>
  </w:footnote>
  <w:footnote w:type="continuationNotice" w:id="1">
    <w:p w14:paraId="3E7E5A96" w14:textId="77777777" w:rsidR="0098007E" w:rsidRDefault="009800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EE588E" w:rsidRDefault="00EE58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492251"/>
    <w:multiLevelType w:val="hybridMultilevel"/>
    <w:tmpl w:val="629A2E24"/>
    <w:lvl w:ilvl="0" w:tplc="90E08554">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96075"/>
    <w:multiLevelType w:val="hybridMultilevel"/>
    <w:tmpl w:val="46A8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E5E47"/>
    <w:multiLevelType w:val="hybridMultilevel"/>
    <w:tmpl w:val="F746C664"/>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6" w15:restartNumberingAfterBreak="0">
    <w:nsid w:val="1FED7637"/>
    <w:multiLevelType w:val="hybridMultilevel"/>
    <w:tmpl w:val="BBB46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C0D25"/>
    <w:multiLevelType w:val="hybridMultilevel"/>
    <w:tmpl w:val="CBEE1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76C68BE"/>
    <w:multiLevelType w:val="hybridMultilevel"/>
    <w:tmpl w:val="33D61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3C79EB"/>
    <w:multiLevelType w:val="hybridMultilevel"/>
    <w:tmpl w:val="E1F4C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37F7A"/>
    <w:multiLevelType w:val="hybridMultilevel"/>
    <w:tmpl w:val="39B67108"/>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0F7C80"/>
    <w:multiLevelType w:val="hybridMultilevel"/>
    <w:tmpl w:val="BF023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A6053A6">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9C5F56"/>
    <w:multiLevelType w:val="hybridMultilevel"/>
    <w:tmpl w:val="F38E4AEC"/>
    <w:lvl w:ilvl="0" w:tplc="55CE2E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59C0D8E"/>
    <w:multiLevelType w:val="multilevel"/>
    <w:tmpl w:val="5EF2C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AF22B5"/>
    <w:multiLevelType w:val="hybridMultilevel"/>
    <w:tmpl w:val="DB24A48E"/>
    <w:lvl w:ilvl="0" w:tplc="7DC2F8D0">
      <w:start w:val="1"/>
      <w:numFmt w:val="bullet"/>
      <w:lvlText w:val="•"/>
      <w:lvlJc w:val="left"/>
      <w:pPr>
        <w:tabs>
          <w:tab w:val="num" w:pos="1080"/>
        </w:tabs>
        <w:ind w:left="1080" w:hanging="360"/>
      </w:pPr>
      <w:rPr>
        <w:rFonts w:ascii="Arial" w:hAnsi="Arial" w:hint="default"/>
      </w:rPr>
    </w:lvl>
    <w:lvl w:ilvl="1" w:tplc="C4E65830">
      <w:numFmt w:val="bullet"/>
      <w:lvlText w:val="•"/>
      <w:lvlJc w:val="left"/>
      <w:pPr>
        <w:tabs>
          <w:tab w:val="num" w:pos="1800"/>
        </w:tabs>
        <w:ind w:left="1800" w:hanging="360"/>
      </w:pPr>
      <w:rPr>
        <w:rFonts w:ascii="Arial" w:hAnsi="Arial"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 w15:restartNumberingAfterBreak="0">
    <w:nsid w:val="64FE25E2"/>
    <w:multiLevelType w:val="hybridMultilevel"/>
    <w:tmpl w:val="EFD8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430179"/>
    <w:multiLevelType w:val="hybridMultilevel"/>
    <w:tmpl w:val="4BC2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84E9F"/>
    <w:multiLevelType w:val="hybridMultilevel"/>
    <w:tmpl w:val="D25A7D2E"/>
    <w:lvl w:ilvl="0" w:tplc="AEB87AF6">
      <w:start w:val="1"/>
      <w:numFmt w:val="bullet"/>
      <w:lvlText w:val="•"/>
      <w:lvlJc w:val="left"/>
      <w:pPr>
        <w:tabs>
          <w:tab w:val="num" w:pos="720"/>
        </w:tabs>
        <w:ind w:left="720" w:hanging="360"/>
      </w:pPr>
      <w:rPr>
        <w:rFonts w:ascii="Arial" w:hAnsi="Arial" w:hint="default"/>
      </w:rPr>
    </w:lvl>
    <w:lvl w:ilvl="1" w:tplc="8E420FA2">
      <w:numFmt w:val="bullet"/>
      <w:lvlText w:val="–"/>
      <w:lvlJc w:val="left"/>
      <w:pPr>
        <w:tabs>
          <w:tab w:val="num" w:pos="1440"/>
        </w:tabs>
        <w:ind w:left="1440" w:hanging="360"/>
      </w:pPr>
      <w:rPr>
        <w:rFonts w:ascii="Arial" w:hAnsi="Arial" w:hint="default"/>
      </w:rPr>
    </w:lvl>
    <w:lvl w:ilvl="2" w:tplc="231AFDC4" w:tentative="1">
      <w:start w:val="1"/>
      <w:numFmt w:val="bullet"/>
      <w:lvlText w:val="•"/>
      <w:lvlJc w:val="left"/>
      <w:pPr>
        <w:tabs>
          <w:tab w:val="num" w:pos="2160"/>
        </w:tabs>
        <w:ind w:left="2160" w:hanging="360"/>
      </w:pPr>
      <w:rPr>
        <w:rFonts w:ascii="Arial" w:hAnsi="Arial" w:hint="default"/>
      </w:rPr>
    </w:lvl>
    <w:lvl w:ilvl="3" w:tplc="11ECEDCA" w:tentative="1">
      <w:start w:val="1"/>
      <w:numFmt w:val="bullet"/>
      <w:lvlText w:val="•"/>
      <w:lvlJc w:val="left"/>
      <w:pPr>
        <w:tabs>
          <w:tab w:val="num" w:pos="2880"/>
        </w:tabs>
        <w:ind w:left="2880" w:hanging="360"/>
      </w:pPr>
      <w:rPr>
        <w:rFonts w:ascii="Arial" w:hAnsi="Arial" w:hint="default"/>
      </w:rPr>
    </w:lvl>
    <w:lvl w:ilvl="4" w:tplc="E4B22492" w:tentative="1">
      <w:start w:val="1"/>
      <w:numFmt w:val="bullet"/>
      <w:lvlText w:val="•"/>
      <w:lvlJc w:val="left"/>
      <w:pPr>
        <w:tabs>
          <w:tab w:val="num" w:pos="3600"/>
        </w:tabs>
        <w:ind w:left="3600" w:hanging="360"/>
      </w:pPr>
      <w:rPr>
        <w:rFonts w:ascii="Arial" w:hAnsi="Arial" w:hint="default"/>
      </w:rPr>
    </w:lvl>
    <w:lvl w:ilvl="5" w:tplc="75E40D76" w:tentative="1">
      <w:start w:val="1"/>
      <w:numFmt w:val="bullet"/>
      <w:lvlText w:val="•"/>
      <w:lvlJc w:val="left"/>
      <w:pPr>
        <w:tabs>
          <w:tab w:val="num" w:pos="4320"/>
        </w:tabs>
        <w:ind w:left="4320" w:hanging="360"/>
      </w:pPr>
      <w:rPr>
        <w:rFonts w:ascii="Arial" w:hAnsi="Arial" w:hint="default"/>
      </w:rPr>
    </w:lvl>
    <w:lvl w:ilvl="6" w:tplc="B5C612C2" w:tentative="1">
      <w:start w:val="1"/>
      <w:numFmt w:val="bullet"/>
      <w:lvlText w:val="•"/>
      <w:lvlJc w:val="left"/>
      <w:pPr>
        <w:tabs>
          <w:tab w:val="num" w:pos="5040"/>
        </w:tabs>
        <w:ind w:left="5040" w:hanging="360"/>
      </w:pPr>
      <w:rPr>
        <w:rFonts w:ascii="Arial" w:hAnsi="Arial" w:hint="default"/>
      </w:rPr>
    </w:lvl>
    <w:lvl w:ilvl="7" w:tplc="0B7CDD38" w:tentative="1">
      <w:start w:val="1"/>
      <w:numFmt w:val="bullet"/>
      <w:lvlText w:val="•"/>
      <w:lvlJc w:val="left"/>
      <w:pPr>
        <w:tabs>
          <w:tab w:val="num" w:pos="5760"/>
        </w:tabs>
        <w:ind w:left="5760" w:hanging="360"/>
      </w:pPr>
      <w:rPr>
        <w:rFonts w:ascii="Arial" w:hAnsi="Arial" w:hint="default"/>
      </w:rPr>
    </w:lvl>
    <w:lvl w:ilvl="8" w:tplc="591E51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hint="default"/>
      </w:rPr>
    </w:lvl>
    <w:lvl w:ilvl="1" w:tplc="95A45D8A">
      <w:numFmt w:val="bullet"/>
      <w:lvlText w:val="–"/>
      <w:lvlJc w:val="left"/>
      <w:pPr>
        <w:tabs>
          <w:tab w:val="num" w:pos="1440"/>
        </w:tabs>
        <w:ind w:left="1440" w:hanging="360"/>
      </w:pPr>
      <w:rPr>
        <w:rFonts w:ascii="Arial" w:hAnsi="Arial" w:hint="default"/>
      </w:rPr>
    </w:lvl>
    <w:lvl w:ilvl="2" w:tplc="F3745812" w:tentative="1">
      <w:start w:val="1"/>
      <w:numFmt w:val="bullet"/>
      <w:lvlText w:val="•"/>
      <w:lvlJc w:val="left"/>
      <w:pPr>
        <w:tabs>
          <w:tab w:val="num" w:pos="2160"/>
        </w:tabs>
        <w:ind w:left="2160" w:hanging="360"/>
      </w:pPr>
      <w:rPr>
        <w:rFonts w:ascii="Arial" w:hAnsi="Arial" w:hint="default"/>
      </w:rPr>
    </w:lvl>
    <w:lvl w:ilvl="3" w:tplc="2598A37E" w:tentative="1">
      <w:start w:val="1"/>
      <w:numFmt w:val="bullet"/>
      <w:lvlText w:val="•"/>
      <w:lvlJc w:val="left"/>
      <w:pPr>
        <w:tabs>
          <w:tab w:val="num" w:pos="2880"/>
        </w:tabs>
        <w:ind w:left="2880" w:hanging="360"/>
      </w:pPr>
      <w:rPr>
        <w:rFonts w:ascii="Arial" w:hAnsi="Arial" w:hint="default"/>
      </w:rPr>
    </w:lvl>
    <w:lvl w:ilvl="4" w:tplc="8ADED75E" w:tentative="1">
      <w:start w:val="1"/>
      <w:numFmt w:val="bullet"/>
      <w:lvlText w:val="•"/>
      <w:lvlJc w:val="left"/>
      <w:pPr>
        <w:tabs>
          <w:tab w:val="num" w:pos="3600"/>
        </w:tabs>
        <w:ind w:left="3600" w:hanging="360"/>
      </w:pPr>
      <w:rPr>
        <w:rFonts w:ascii="Arial" w:hAnsi="Arial" w:hint="default"/>
      </w:rPr>
    </w:lvl>
    <w:lvl w:ilvl="5" w:tplc="BDA4B7D6" w:tentative="1">
      <w:start w:val="1"/>
      <w:numFmt w:val="bullet"/>
      <w:lvlText w:val="•"/>
      <w:lvlJc w:val="left"/>
      <w:pPr>
        <w:tabs>
          <w:tab w:val="num" w:pos="4320"/>
        </w:tabs>
        <w:ind w:left="4320" w:hanging="360"/>
      </w:pPr>
      <w:rPr>
        <w:rFonts w:ascii="Arial" w:hAnsi="Arial" w:hint="default"/>
      </w:rPr>
    </w:lvl>
    <w:lvl w:ilvl="6" w:tplc="36024814" w:tentative="1">
      <w:start w:val="1"/>
      <w:numFmt w:val="bullet"/>
      <w:lvlText w:val="•"/>
      <w:lvlJc w:val="left"/>
      <w:pPr>
        <w:tabs>
          <w:tab w:val="num" w:pos="5040"/>
        </w:tabs>
        <w:ind w:left="5040" w:hanging="360"/>
      </w:pPr>
      <w:rPr>
        <w:rFonts w:ascii="Arial" w:hAnsi="Arial" w:hint="default"/>
      </w:rPr>
    </w:lvl>
    <w:lvl w:ilvl="7" w:tplc="807EF1CA" w:tentative="1">
      <w:start w:val="1"/>
      <w:numFmt w:val="bullet"/>
      <w:lvlText w:val="•"/>
      <w:lvlJc w:val="left"/>
      <w:pPr>
        <w:tabs>
          <w:tab w:val="num" w:pos="5760"/>
        </w:tabs>
        <w:ind w:left="5760" w:hanging="360"/>
      </w:pPr>
      <w:rPr>
        <w:rFonts w:ascii="Arial" w:hAnsi="Arial" w:hint="default"/>
      </w:rPr>
    </w:lvl>
    <w:lvl w:ilvl="8" w:tplc="997CC9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47319F"/>
    <w:multiLevelType w:val="multilevel"/>
    <w:tmpl w:val="C22814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0"/>
  </w:num>
  <w:num w:numId="3">
    <w:abstractNumId w:val="2"/>
  </w:num>
  <w:num w:numId="4">
    <w:abstractNumId w:val="12"/>
  </w:num>
  <w:num w:numId="5">
    <w:abstractNumId w:val="34"/>
  </w:num>
  <w:num w:numId="6">
    <w:abstractNumId w:val="35"/>
  </w:num>
  <w:num w:numId="7">
    <w:abstractNumId w:val="33"/>
  </w:num>
  <w:num w:numId="8">
    <w:abstractNumId w:val="11"/>
  </w:num>
  <w:num w:numId="9">
    <w:abstractNumId w:val="15"/>
  </w:num>
  <w:num w:numId="10">
    <w:abstractNumId w:val="19"/>
  </w:num>
  <w:num w:numId="11">
    <w:abstractNumId w:val="20"/>
  </w:num>
  <w:num w:numId="12">
    <w:abstractNumId w:val="6"/>
  </w:num>
  <w:num w:numId="13">
    <w:abstractNumId w:val="17"/>
  </w:num>
  <w:num w:numId="14">
    <w:abstractNumId w:val="3"/>
  </w:num>
  <w:num w:numId="15">
    <w:abstractNumId w:val="25"/>
  </w:num>
  <w:num w:numId="16">
    <w:abstractNumId w:val="36"/>
  </w:num>
  <w:num w:numId="17">
    <w:abstractNumId w:val="21"/>
  </w:num>
  <w:num w:numId="18">
    <w:abstractNumId w:val="4"/>
  </w:num>
  <w:num w:numId="19">
    <w:abstractNumId w:val="27"/>
  </w:num>
  <w:num w:numId="20">
    <w:abstractNumId w:val="9"/>
  </w:num>
  <w:num w:numId="21">
    <w:abstractNumId w:val="13"/>
  </w:num>
  <w:num w:numId="22">
    <w:abstractNumId w:val="32"/>
  </w:num>
  <w:num w:numId="23">
    <w:abstractNumId w:val="23"/>
  </w:num>
  <w:num w:numId="24">
    <w:abstractNumId w:val="7"/>
  </w:num>
  <w:num w:numId="25">
    <w:abstractNumId w:val="30"/>
  </w:num>
  <w:num w:numId="26">
    <w:abstractNumId w:val="29"/>
  </w:num>
  <w:num w:numId="27">
    <w:abstractNumId w:val="14"/>
  </w:num>
  <w:num w:numId="28">
    <w:abstractNumId w:val="28"/>
  </w:num>
  <w:num w:numId="29">
    <w:abstractNumId w:val="26"/>
  </w:num>
  <w:num w:numId="30">
    <w:abstractNumId w:val="18"/>
  </w:num>
  <w:num w:numId="31">
    <w:abstractNumId w:val="31"/>
  </w:num>
  <w:num w:numId="32">
    <w:abstractNumId w:val="11"/>
  </w:num>
  <w:num w:numId="33">
    <w:abstractNumId w:val="37"/>
  </w:num>
  <w:num w:numId="34">
    <w:abstractNumId w:val="24"/>
  </w:num>
  <w:num w:numId="35">
    <w:abstractNumId w:val="28"/>
  </w:num>
  <w:num w:numId="36">
    <w:abstractNumId w:val="5"/>
  </w:num>
  <w:num w:numId="37">
    <w:abstractNumId w:val="1"/>
  </w:num>
  <w:num w:numId="38">
    <w:abstractNumId w:val="22"/>
  </w:num>
  <w:num w:numId="39">
    <w:abstractNumId w:val="16"/>
  </w:num>
  <w:num w:numId="4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AE3"/>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245"/>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132"/>
    <w:rsid w:val="000F42EA"/>
    <w:rsid w:val="000F444C"/>
    <w:rsid w:val="000F47DF"/>
    <w:rsid w:val="000F4CAF"/>
    <w:rsid w:val="000F4D2F"/>
    <w:rsid w:val="000F4E96"/>
    <w:rsid w:val="000F4F44"/>
    <w:rsid w:val="000F4FA3"/>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070"/>
    <w:rsid w:val="001175EF"/>
    <w:rsid w:val="00117677"/>
    <w:rsid w:val="00117957"/>
    <w:rsid w:val="00117C78"/>
    <w:rsid w:val="001201EA"/>
    <w:rsid w:val="001203DB"/>
    <w:rsid w:val="0012079F"/>
    <w:rsid w:val="001207F3"/>
    <w:rsid w:val="00120BC8"/>
    <w:rsid w:val="00120C0C"/>
    <w:rsid w:val="00120C1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577C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0E78"/>
    <w:rsid w:val="001B113B"/>
    <w:rsid w:val="001B1565"/>
    <w:rsid w:val="001B158B"/>
    <w:rsid w:val="001B17A5"/>
    <w:rsid w:val="001B2993"/>
    <w:rsid w:val="001B2C18"/>
    <w:rsid w:val="001B35C1"/>
    <w:rsid w:val="001B3754"/>
    <w:rsid w:val="001B3A10"/>
    <w:rsid w:val="001B3E20"/>
    <w:rsid w:val="001B4094"/>
    <w:rsid w:val="001B41E4"/>
    <w:rsid w:val="001B4371"/>
    <w:rsid w:val="001B510D"/>
    <w:rsid w:val="001B5332"/>
    <w:rsid w:val="001B54E9"/>
    <w:rsid w:val="001B55DE"/>
    <w:rsid w:val="001B6470"/>
    <w:rsid w:val="001B6740"/>
    <w:rsid w:val="001B7066"/>
    <w:rsid w:val="001B70CF"/>
    <w:rsid w:val="001B748B"/>
    <w:rsid w:val="001B7905"/>
    <w:rsid w:val="001B7FA0"/>
    <w:rsid w:val="001C0085"/>
    <w:rsid w:val="001C02C2"/>
    <w:rsid w:val="001C05EB"/>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4B6C"/>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3D6"/>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6E12"/>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62F9"/>
    <w:rsid w:val="002D7235"/>
    <w:rsid w:val="002D76E8"/>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9F9"/>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828"/>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08"/>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532"/>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C4D"/>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897"/>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0A2E"/>
    <w:rsid w:val="0047166D"/>
    <w:rsid w:val="00471856"/>
    <w:rsid w:val="00471DB0"/>
    <w:rsid w:val="00471FAB"/>
    <w:rsid w:val="0047253B"/>
    <w:rsid w:val="00472709"/>
    <w:rsid w:val="00472ACB"/>
    <w:rsid w:val="004735E8"/>
    <w:rsid w:val="00473631"/>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5AD"/>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54A"/>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B1D"/>
    <w:rsid w:val="004A5D36"/>
    <w:rsid w:val="004A5D78"/>
    <w:rsid w:val="004A6AE1"/>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EFA"/>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3A38"/>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91C"/>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41E"/>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29A"/>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D4"/>
    <w:rsid w:val="006578D9"/>
    <w:rsid w:val="00657C1F"/>
    <w:rsid w:val="00657C28"/>
    <w:rsid w:val="00657F67"/>
    <w:rsid w:val="006605DC"/>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3F"/>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03D"/>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3C86"/>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CEF"/>
    <w:rsid w:val="007B7D58"/>
    <w:rsid w:val="007B7E59"/>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06FA"/>
    <w:rsid w:val="0083179C"/>
    <w:rsid w:val="00832142"/>
    <w:rsid w:val="00832C18"/>
    <w:rsid w:val="00832CAF"/>
    <w:rsid w:val="0083311A"/>
    <w:rsid w:val="0083400F"/>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695"/>
    <w:rsid w:val="00851B22"/>
    <w:rsid w:val="00852338"/>
    <w:rsid w:val="00852AA6"/>
    <w:rsid w:val="00852EE2"/>
    <w:rsid w:val="00852FAF"/>
    <w:rsid w:val="00853C45"/>
    <w:rsid w:val="00854090"/>
    <w:rsid w:val="008540C8"/>
    <w:rsid w:val="00854983"/>
    <w:rsid w:val="008549FF"/>
    <w:rsid w:val="00854A91"/>
    <w:rsid w:val="00854E0E"/>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685"/>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3C17"/>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0ED"/>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0C"/>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5F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5BB6"/>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07E"/>
    <w:rsid w:val="00980161"/>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0E23"/>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3BE"/>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7A"/>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531"/>
    <w:rsid w:val="00A40660"/>
    <w:rsid w:val="00A40865"/>
    <w:rsid w:val="00A40C1E"/>
    <w:rsid w:val="00A41798"/>
    <w:rsid w:val="00A41821"/>
    <w:rsid w:val="00A41C5C"/>
    <w:rsid w:val="00A41EF0"/>
    <w:rsid w:val="00A422A2"/>
    <w:rsid w:val="00A42493"/>
    <w:rsid w:val="00A42659"/>
    <w:rsid w:val="00A42A23"/>
    <w:rsid w:val="00A42B87"/>
    <w:rsid w:val="00A42F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5F33"/>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D"/>
    <w:rsid w:val="00A97EF9"/>
    <w:rsid w:val="00AA0003"/>
    <w:rsid w:val="00AA0D9A"/>
    <w:rsid w:val="00AA1264"/>
    <w:rsid w:val="00AA158B"/>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7EC"/>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E7DA5"/>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10F"/>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423"/>
    <w:rsid w:val="00B215F9"/>
    <w:rsid w:val="00B217CD"/>
    <w:rsid w:val="00B21B67"/>
    <w:rsid w:val="00B21CA7"/>
    <w:rsid w:val="00B22472"/>
    <w:rsid w:val="00B232CB"/>
    <w:rsid w:val="00B233A9"/>
    <w:rsid w:val="00B237E7"/>
    <w:rsid w:val="00B239CC"/>
    <w:rsid w:val="00B23C57"/>
    <w:rsid w:val="00B23E2E"/>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7188"/>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D35"/>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4D4"/>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50F"/>
    <w:rsid w:val="00C067A4"/>
    <w:rsid w:val="00C06DBD"/>
    <w:rsid w:val="00C06F8C"/>
    <w:rsid w:val="00C079A4"/>
    <w:rsid w:val="00C07A6C"/>
    <w:rsid w:val="00C07AE3"/>
    <w:rsid w:val="00C07AE4"/>
    <w:rsid w:val="00C07C5C"/>
    <w:rsid w:val="00C1030D"/>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E7"/>
    <w:rsid w:val="00C65F58"/>
    <w:rsid w:val="00C660B0"/>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2E9"/>
    <w:rsid w:val="00CA3E51"/>
    <w:rsid w:val="00CA4556"/>
    <w:rsid w:val="00CA475D"/>
    <w:rsid w:val="00CA49C0"/>
    <w:rsid w:val="00CA4A24"/>
    <w:rsid w:val="00CA4A3F"/>
    <w:rsid w:val="00CA4C14"/>
    <w:rsid w:val="00CA4F58"/>
    <w:rsid w:val="00CA51A0"/>
    <w:rsid w:val="00CA5842"/>
    <w:rsid w:val="00CA5DA3"/>
    <w:rsid w:val="00CA6164"/>
    <w:rsid w:val="00CA6BDF"/>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29F"/>
    <w:rsid w:val="00D444B7"/>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333"/>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A37"/>
    <w:rsid w:val="00DA0FC0"/>
    <w:rsid w:val="00DA10F6"/>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D65"/>
    <w:rsid w:val="00DD3E26"/>
    <w:rsid w:val="00DD445D"/>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2F"/>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C72"/>
    <w:rsid w:val="00EA5029"/>
    <w:rsid w:val="00EA5335"/>
    <w:rsid w:val="00EA5C3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EE8"/>
    <w:rsid w:val="00ED0DE8"/>
    <w:rsid w:val="00ED0EB9"/>
    <w:rsid w:val="00ED17D6"/>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825"/>
    <w:rsid w:val="00EE5112"/>
    <w:rsid w:val="00EE583B"/>
    <w:rsid w:val="00EE588E"/>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334"/>
    <w:rsid w:val="00F2643A"/>
    <w:rsid w:val="00F266E8"/>
    <w:rsid w:val="00F26886"/>
    <w:rsid w:val="00F2699C"/>
    <w:rsid w:val="00F27000"/>
    <w:rsid w:val="00F275F0"/>
    <w:rsid w:val="00F27E0C"/>
    <w:rsid w:val="00F27F00"/>
    <w:rsid w:val="00F3002F"/>
    <w:rsid w:val="00F30353"/>
    <w:rsid w:val="00F3075E"/>
    <w:rsid w:val="00F308C0"/>
    <w:rsid w:val="00F318E7"/>
    <w:rsid w:val="00F31DED"/>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0BD"/>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1309"/>
    <w:rsid w:val="00FB15D5"/>
    <w:rsid w:val="00FB186A"/>
    <w:rsid w:val="00FB18E8"/>
    <w:rsid w:val="00FB19D8"/>
    <w:rsid w:val="00FB22E5"/>
    <w:rsid w:val="00FB2363"/>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237605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821006">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3089075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02116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68593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png"/><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HR33RHYHUWRF-4-6094</_dlc_DocId>
    <_dlc_DocIdUrl xmlns="c06861ca-3f08-4d07-bff7-bb15bac121f4">
      <Url>https://projects.qualcomm.com/sites/pentari/_layouts/15/DocIdRedir.aspx?ID=HR33RHYHUWRF-4-6094</Url>
      <Description>HR33RHYHUWRF-4-6094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BF4BE6-768E-4F34-AAD7-55EFBE03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1019</Words>
  <Characters>5620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37</cp:revision>
  <cp:lastPrinted>2017-03-25T00:57:00Z</cp:lastPrinted>
  <dcterms:created xsi:type="dcterms:W3CDTF">2017-10-12T10:21:00Z</dcterms:created>
  <dcterms:modified xsi:type="dcterms:W3CDTF">2017-11-18T07:04:00Z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34f9125f-ad7c-48c9-8803-c267a0173d83</vt:lpwstr>
  </property>
  <property fmtid="{D5CDD505-2E9C-101B-9397-08002B2CF9AE}" pid="4" name="ContentTypeId">
    <vt:lpwstr>0x010100BC29BFD66497B943AA3B102F0C7B1355</vt:lpwstr>
  </property>
</Properties>
</file>